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14:paraId="1A835016" w14:textId="77777777" w:rsidTr="008450F6">
        <w:trPr>
          <w:cantSplit/>
          <w:trHeight w:val="1077"/>
        </w:trPr>
        <w:tc>
          <w:tcPr>
            <w:tcW w:w="9638" w:type="dxa"/>
            <w:tcBorders>
              <w:bottom w:val="single" w:sz="4" w:space="0" w:color="653279" w:themeColor="accent1"/>
            </w:tcBorders>
            <w:shd w:val="clear" w:color="auto" w:fill="FFFFFF" w:themeFill="background1"/>
            <w:vAlign w:val="bottom"/>
          </w:tcPr>
          <w:p w14:paraId="267CBD9F" w14:textId="77777777"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71585A61" wp14:editId="65903F56">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69DAA912" wp14:editId="049507C9">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2"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6458613D" wp14:editId="2D975C58">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3"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22BE6720" wp14:editId="7D86F137">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4"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14:paraId="3AA40EDF" w14:textId="77777777" w:rsidR="00B05069" w:rsidRPr="000D5D39" w:rsidRDefault="007A6B72" w:rsidP="00D67161">
      <w:pPr>
        <w:pStyle w:val="DocTitle"/>
      </w:pPr>
      <w:r>
        <w:rPr>
          <w:b w:val="0"/>
          <w:color w:val="E57200"/>
          <w:szCs w:val="48"/>
        </w:rPr>
        <w:fldChar w:fldCharType="begin">
          <w:ffData>
            <w:name w:val=""/>
            <w:enabled/>
            <w:calcOnExit w:val="0"/>
            <w:textInput>
              <w:default w:val="Sense College - Operational Strategy"/>
            </w:textInput>
          </w:ffData>
        </w:fldChar>
      </w:r>
      <w:r>
        <w:rPr>
          <w:b w:val="0"/>
          <w:color w:val="E57200"/>
          <w:szCs w:val="48"/>
        </w:rPr>
        <w:instrText xml:space="preserve"> FORMTEXT </w:instrText>
      </w:r>
      <w:r>
        <w:rPr>
          <w:b w:val="0"/>
          <w:color w:val="E57200"/>
          <w:szCs w:val="48"/>
        </w:rPr>
      </w:r>
      <w:r>
        <w:rPr>
          <w:b w:val="0"/>
          <w:color w:val="E57200"/>
          <w:szCs w:val="48"/>
        </w:rPr>
        <w:fldChar w:fldCharType="separate"/>
      </w:r>
      <w:r>
        <w:rPr>
          <w:b w:val="0"/>
          <w:noProof/>
          <w:color w:val="E57200"/>
          <w:szCs w:val="48"/>
        </w:rPr>
        <w:t>Sense College - Operational Strategy</w:t>
      </w:r>
      <w:r>
        <w:rPr>
          <w:b w:val="0"/>
          <w:color w:val="E57200"/>
          <w:szCs w:val="48"/>
        </w:rPr>
        <w:fldChar w:fldCharType="end"/>
      </w:r>
    </w:p>
    <w:p w14:paraId="42DB414D" w14:textId="77777777" w:rsidR="00022C5E" w:rsidRDefault="00022C5E" w:rsidP="00022C5E">
      <w:pPr>
        <w:pStyle w:val="DocDate"/>
      </w:pPr>
    </w:p>
    <w:p w14:paraId="7064FAF7" w14:textId="77777777" w:rsidR="008E05BD" w:rsidRPr="008E05BD" w:rsidRDefault="007A6B72" w:rsidP="008E05BD">
      <w:pPr>
        <w:pStyle w:val="Heading1"/>
        <w:rPr>
          <w:sz w:val="48"/>
          <w:szCs w:val="48"/>
        </w:rPr>
      </w:pPr>
      <w:r>
        <w:rPr>
          <w:sz w:val="48"/>
          <w:szCs w:val="48"/>
        </w:rPr>
        <w:t>Transitions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CFCC752" w14:textId="77777777" w:rsidR="008E05BD" w:rsidRDefault="008E05BD" w:rsidP="008E05BD">
      <w:pPr>
        <w:rPr>
          <w:b/>
          <w:color w:val="E57200"/>
          <w:sz w:val="48"/>
          <w:szCs w:val="48"/>
        </w:rPr>
      </w:pPr>
    </w:p>
    <w:p w14:paraId="38777CB7" w14:textId="77777777" w:rsidR="008E05BD" w:rsidRDefault="00A50289" w:rsidP="008E05BD">
      <w:pPr>
        <w:rPr>
          <w:b/>
          <w:color w:val="E57200"/>
          <w:sz w:val="48"/>
          <w:szCs w:val="48"/>
        </w:rPr>
      </w:pPr>
      <w:r>
        <w:rPr>
          <w:b/>
          <w:color w:val="E57200"/>
          <w:sz w:val="48"/>
          <w:szCs w:val="48"/>
        </w:rPr>
        <w:t>Information</w:t>
      </w:r>
    </w:p>
    <w:p w14:paraId="5AF84FEC" w14:textId="77777777" w:rsidR="008E05BD" w:rsidRDefault="008E05BD" w:rsidP="008E05BD">
      <w:pPr>
        <w:rPr>
          <w:b/>
          <w:color w:val="E57200"/>
          <w:sz w:val="48"/>
          <w:szCs w:val="48"/>
        </w:rPr>
      </w:pPr>
    </w:p>
    <w:p w14:paraId="031EE99A" w14:textId="77777777" w:rsidR="008E05BD" w:rsidRDefault="008E05BD" w:rsidP="008E05BD">
      <w:pPr>
        <w:rPr>
          <w:b/>
          <w:color w:val="E57200"/>
          <w:sz w:val="48"/>
          <w:szCs w:val="48"/>
        </w:rPr>
      </w:pPr>
    </w:p>
    <w:p w14:paraId="53F47CC1" w14:textId="77777777" w:rsidR="008E05BD" w:rsidRDefault="008E05BD" w:rsidP="008E05BD">
      <w:pPr>
        <w:rPr>
          <w:b/>
          <w:color w:val="E57200"/>
          <w:sz w:val="48"/>
          <w:szCs w:val="48"/>
        </w:rPr>
      </w:pPr>
    </w:p>
    <w:p w14:paraId="6562E0B7" w14:textId="77777777" w:rsidR="008E05BD" w:rsidRDefault="008E05BD" w:rsidP="008E05BD">
      <w:pPr>
        <w:rPr>
          <w:b/>
          <w:color w:val="E57200"/>
          <w:sz w:val="48"/>
          <w:szCs w:val="48"/>
        </w:rPr>
      </w:pPr>
    </w:p>
    <w:p w14:paraId="1D53ACD7" w14:textId="77777777" w:rsidR="008E05BD" w:rsidRDefault="008E05BD" w:rsidP="008E05BD">
      <w:pPr>
        <w:rPr>
          <w:b/>
          <w:color w:val="E57200"/>
          <w:sz w:val="48"/>
          <w:szCs w:val="48"/>
        </w:rPr>
      </w:pPr>
    </w:p>
    <w:p w14:paraId="2E1A7E36" w14:textId="77777777" w:rsidR="00344463" w:rsidRDefault="00344463" w:rsidP="00344463">
      <w:pPr>
        <w:rPr>
          <w:sz w:val="28"/>
          <w:szCs w:val="28"/>
        </w:rPr>
      </w:pPr>
    </w:p>
    <w:p w14:paraId="4968A9BE" w14:textId="77777777" w:rsidR="004E7C9A" w:rsidRDefault="004E7C9A">
      <w:pPr>
        <w:spacing w:before="240" w:line="300" w:lineRule="auto"/>
        <w:rPr>
          <w:sz w:val="28"/>
          <w:szCs w:val="28"/>
        </w:rPr>
      </w:pPr>
      <w:r>
        <w:rPr>
          <w:sz w:val="28"/>
          <w:szCs w:val="28"/>
        </w:rPr>
        <w:br w:type="page"/>
      </w:r>
    </w:p>
    <w:p w14:paraId="4F44CCD7" w14:textId="77777777" w:rsidR="00344463" w:rsidRDefault="00344463" w:rsidP="0051500A">
      <w:pPr>
        <w:pStyle w:val="Heading3"/>
        <w:spacing w:before="0" w:line="360" w:lineRule="auto"/>
        <w:rPr>
          <w:color w:val="653279" w:themeColor="accent1"/>
          <w:sz w:val="36"/>
        </w:rPr>
      </w:pPr>
      <w:r w:rsidRPr="00344463">
        <w:rPr>
          <w:color w:val="653279" w:themeColor="accent1"/>
          <w:sz w:val="36"/>
        </w:rPr>
        <w:lastRenderedPageBreak/>
        <w:t>Outcomes</w:t>
      </w:r>
    </w:p>
    <w:p w14:paraId="1D7346C0" w14:textId="77777777" w:rsidR="0051500A" w:rsidRPr="0051500A" w:rsidRDefault="0051500A" w:rsidP="0051500A">
      <w:pPr>
        <w:rPr>
          <w:szCs w:val="24"/>
        </w:rPr>
      </w:pPr>
    </w:p>
    <w:p w14:paraId="6A6DE3C7" w14:textId="77777777" w:rsidR="00840BF7" w:rsidRDefault="00840BF7" w:rsidP="00840BF7">
      <w:pPr>
        <w:rPr>
          <w:rFonts w:cs="Arial"/>
          <w:szCs w:val="24"/>
        </w:rPr>
      </w:pPr>
      <w:r>
        <w:rPr>
          <w:rFonts w:cs="Arial"/>
          <w:szCs w:val="24"/>
        </w:rPr>
        <w:t xml:space="preserve">In order to </w:t>
      </w:r>
      <w:r w:rsidR="00B7565E">
        <w:rPr>
          <w:rFonts w:cs="Arial"/>
          <w:szCs w:val="24"/>
        </w:rPr>
        <w:t>ensure</w:t>
      </w:r>
      <w:r>
        <w:rPr>
          <w:rFonts w:cs="Arial"/>
          <w:szCs w:val="24"/>
        </w:rPr>
        <w:t xml:space="preserve"> an effective process of </w:t>
      </w:r>
      <w:r w:rsidR="00A50289">
        <w:rPr>
          <w:rFonts w:cs="Arial"/>
          <w:szCs w:val="24"/>
        </w:rPr>
        <w:t xml:space="preserve">co-production </w:t>
      </w:r>
      <w:r w:rsidR="00297012">
        <w:rPr>
          <w:rFonts w:cs="Arial"/>
          <w:szCs w:val="24"/>
        </w:rPr>
        <w:t>between the college,</w:t>
      </w:r>
      <w:r w:rsidR="00A50289">
        <w:rPr>
          <w:rFonts w:cs="Arial"/>
          <w:szCs w:val="24"/>
        </w:rPr>
        <w:t xml:space="preserve"> learners and their families</w:t>
      </w:r>
      <w:r w:rsidR="00297012">
        <w:rPr>
          <w:rFonts w:cs="Arial"/>
          <w:szCs w:val="24"/>
        </w:rPr>
        <w:t xml:space="preserve"> and stakeholders,</w:t>
      </w:r>
      <w:r w:rsidR="00A50289">
        <w:rPr>
          <w:rFonts w:cs="Arial"/>
          <w:szCs w:val="24"/>
        </w:rPr>
        <w:t xml:space="preserve"> </w:t>
      </w:r>
      <w:r w:rsidR="00B7565E">
        <w:rPr>
          <w:rFonts w:cs="Arial"/>
          <w:szCs w:val="24"/>
        </w:rPr>
        <w:t xml:space="preserve">the purpose and aims of </w:t>
      </w:r>
      <w:r w:rsidR="00297012">
        <w:rPr>
          <w:rFonts w:cs="Arial"/>
          <w:szCs w:val="24"/>
        </w:rPr>
        <w:t>transitions</w:t>
      </w:r>
      <w:r w:rsidR="00B7565E">
        <w:rPr>
          <w:rFonts w:cs="Arial"/>
          <w:szCs w:val="24"/>
        </w:rPr>
        <w:t xml:space="preserve"> </w:t>
      </w:r>
      <w:r w:rsidR="00297012">
        <w:rPr>
          <w:rFonts w:cs="Arial"/>
          <w:szCs w:val="24"/>
        </w:rPr>
        <w:t>for the</w:t>
      </w:r>
      <w:r w:rsidR="00B7565E">
        <w:rPr>
          <w:rFonts w:cs="Arial"/>
          <w:szCs w:val="24"/>
        </w:rPr>
        <w:t xml:space="preserve"> college </w:t>
      </w:r>
      <w:r>
        <w:rPr>
          <w:rFonts w:cs="Arial"/>
          <w:szCs w:val="24"/>
        </w:rPr>
        <w:t>needs to be clear:</w:t>
      </w:r>
      <w:r>
        <w:rPr>
          <w:rFonts w:cs="Arial"/>
          <w:szCs w:val="24"/>
        </w:rPr>
        <w:br/>
      </w:r>
    </w:p>
    <w:p w14:paraId="14C833B2" w14:textId="77777777" w:rsidR="00F52FD8" w:rsidRDefault="00F52FD8" w:rsidP="00F52FD8">
      <w:pPr>
        <w:pStyle w:val="Bullet1"/>
        <w:rPr>
          <w:szCs w:val="24"/>
        </w:rPr>
      </w:pPr>
      <w:r>
        <w:rPr>
          <w:szCs w:val="24"/>
        </w:rPr>
        <w:t>To ensure that learners receive appropriate and timely information, advice and guidance</w:t>
      </w:r>
      <w:r w:rsidR="006A06C6">
        <w:rPr>
          <w:szCs w:val="24"/>
        </w:rPr>
        <w:t xml:space="preserve"> around transitions</w:t>
      </w:r>
      <w:r>
        <w:rPr>
          <w:szCs w:val="24"/>
        </w:rPr>
        <w:t>;</w:t>
      </w:r>
    </w:p>
    <w:p w14:paraId="5F73E471" w14:textId="77777777" w:rsidR="009B796D" w:rsidRDefault="009B796D" w:rsidP="00F52FD8">
      <w:pPr>
        <w:pStyle w:val="Bullet1"/>
        <w:rPr>
          <w:szCs w:val="24"/>
        </w:rPr>
      </w:pPr>
      <w:r>
        <w:rPr>
          <w:szCs w:val="24"/>
        </w:rPr>
        <w:t>To explain what the responsibilities of staff, learners, families and stakeholders are</w:t>
      </w:r>
      <w:r w:rsidR="006A06C6">
        <w:rPr>
          <w:szCs w:val="24"/>
        </w:rPr>
        <w:t xml:space="preserve"> within the transition process</w:t>
      </w:r>
      <w:r>
        <w:rPr>
          <w:szCs w:val="24"/>
        </w:rPr>
        <w:t>;</w:t>
      </w:r>
    </w:p>
    <w:p w14:paraId="7C0FA667" w14:textId="77777777" w:rsidR="00F52FD8" w:rsidRDefault="009B796D" w:rsidP="00F52FD8">
      <w:pPr>
        <w:pStyle w:val="Bullet1"/>
        <w:rPr>
          <w:szCs w:val="24"/>
        </w:rPr>
      </w:pPr>
      <w:r>
        <w:rPr>
          <w:szCs w:val="24"/>
        </w:rPr>
        <w:t xml:space="preserve">To explain how </w:t>
      </w:r>
      <w:r w:rsidR="00015B11">
        <w:rPr>
          <w:szCs w:val="24"/>
        </w:rPr>
        <w:t xml:space="preserve">the learners’ journey and </w:t>
      </w:r>
      <w:r w:rsidR="006A06C6">
        <w:rPr>
          <w:szCs w:val="24"/>
        </w:rPr>
        <w:t xml:space="preserve">progress </w:t>
      </w:r>
      <w:r>
        <w:rPr>
          <w:szCs w:val="24"/>
        </w:rPr>
        <w:t>will be assessed</w:t>
      </w:r>
      <w:r w:rsidR="006A06C6">
        <w:rPr>
          <w:szCs w:val="24"/>
        </w:rPr>
        <w:t>, reviewed</w:t>
      </w:r>
      <w:r>
        <w:rPr>
          <w:szCs w:val="24"/>
        </w:rPr>
        <w:t xml:space="preserve"> and tracked</w:t>
      </w:r>
      <w:r w:rsidR="006A06C6">
        <w:rPr>
          <w:szCs w:val="24"/>
        </w:rPr>
        <w:t xml:space="preserve"> within transitions</w:t>
      </w:r>
      <w:r>
        <w:rPr>
          <w:szCs w:val="24"/>
        </w:rPr>
        <w:t>;</w:t>
      </w:r>
    </w:p>
    <w:p w14:paraId="7F6FB812" w14:textId="77777777" w:rsidR="009B796D" w:rsidRPr="00D23696" w:rsidRDefault="009B796D" w:rsidP="00F52FD8">
      <w:pPr>
        <w:pStyle w:val="Bullet1"/>
        <w:rPr>
          <w:szCs w:val="24"/>
        </w:rPr>
      </w:pPr>
      <w:r>
        <w:rPr>
          <w:szCs w:val="24"/>
        </w:rPr>
        <w:t xml:space="preserve">To </w:t>
      </w:r>
      <w:r w:rsidR="006A06C6">
        <w:rPr>
          <w:szCs w:val="24"/>
        </w:rPr>
        <w:t>support learners and their families/carers to be confident through what can be an anxious process</w:t>
      </w:r>
      <w:r>
        <w:rPr>
          <w:szCs w:val="24"/>
        </w:rPr>
        <w:t>;</w:t>
      </w:r>
    </w:p>
    <w:p w14:paraId="7BF59813" w14:textId="77777777" w:rsidR="00840BF7" w:rsidRPr="00D23696" w:rsidRDefault="00840BF7" w:rsidP="00D23696">
      <w:pPr>
        <w:pStyle w:val="Bullet1"/>
        <w:rPr>
          <w:szCs w:val="24"/>
        </w:rPr>
      </w:pPr>
      <w:r w:rsidRPr="00D23696">
        <w:rPr>
          <w:szCs w:val="24"/>
        </w:rPr>
        <w:t xml:space="preserve">To </w:t>
      </w:r>
      <w:r w:rsidR="00A50289">
        <w:rPr>
          <w:szCs w:val="24"/>
        </w:rPr>
        <w:t xml:space="preserve">support  </w:t>
      </w:r>
      <w:r w:rsidR="00B7565E">
        <w:rPr>
          <w:szCs w:val="24"/>
        </w:rPr>
        <w:t>the informed decision-making skills of learners</w:t>
      </w:r>
      <w:r w:rsidR="00A50289">
        <w:rPr>
          <w:szCs w:val="24"/>
        </w:rPr>
        <w:t xml:space="preserve"> with parents’ support</w:t>
      </w:r>
      <w:r w:rsidRPr="00D23696">
        <w:rPr>
          <w:szCs w:val="24"/>
        </w:rPr>
        <w:t>;</w:t>
      </w:r>
    </w:p>
    <w:p w14:paraId="17D815C1" w14:textId="77777777" w:rsidR="00840BF7" w:rsidRDefault="00840BF7" w:rsidP="00D23696">
      <w:pPr>
        <w:pStyle w:val="Bullet1"/>
        <w:rPr>
          <w:szCs w:val="24"/>
        </w:rPr>
      </w:pPr>
      <w:r w:rsidRPr="00D23696">
        <w:rPr>
          <w:szCs w:val="24"/>
        </w:rPr>
        <w:t xml:space="preserve">To </w:t>
      </w:r>
      <w:r w:rsidR="00B7565E">
        <w:rPr>
          <w:szCs w:val="24"/>
        </w:rPr>
        <w:t xml:space="preserve">ensure that staff have the skills required to seek and respond effectively to the views of all </w:t>
      </w:r>
      <w:r w:rsidR="00F52FD8">
        <w:rPr>
          <w:szCs w:val="24"/>
        </w:rPr>
        <w:t>parties</w:t>
      </w:r>
      <w:r w:rsidRPr="00D23696">
        <w:rPr>
          <w:szCs w:val="24"/>
        </w:rPr>
        <w:t>;</w:t>
      </w:r>
    </w:p>
    <w:p w14:paraId="57C74289" w14:textId="77777777" w:rsidR="00F52FD8" w:rsidRDefault="00F52FD8" w:rsidP="00F52FD8">
      <w:pPr>
        <w:pStyle w:val="Bullet1"/>
        <w:rPr>
          <w:szCs w:val="24"/>
        </w:rPr>
      </w:pPr>
      <w:r w:rsidRPr="00D23696">
        <w:rPr>
          <w:szCs w:val="24"/>
        </w:rPr>
        <w:t xml:space="preserve">To </w:t>
      </w:r>
      <w:r>
        <w:rPr>
          <w:szCs w:val="24"/>
        </w:rPr>
        <w:t xml:space="preserve">support learners via home and family to </w:t>
      </w:r>
      <w:r w:rsidR="009B796D">
        <w:rPr>
          <w:szCs w:val="24"/>
        </w:rPr>
        <w:t xml:space="preserve">make progress and </w:t>
      </w:r>
      <w:r>
        <w:rPr>
          <w:szCs w:val="24"/>
        </w:rPr>
        <w:t xml:space="preserve">get the best from high quality teaching, learning and </w:t>
      </w:r>
      <w:r w:rsidR="00015B11">
        <w:rPr>
          <w:szCs w:val="24"/>
        </w:rPr>
        <w:t>educational support</w:t>
      </w:r>
      <w:r w:rsidRPr="00D23696">
        <w:rPr>
          <w:szCs w:val="24"/>
        </w:rPr>
        <w:t>;</w:t>
      </w:r>
    </w:p>
    <w:p w14:paraId="12506F2B" w14:textId="77777777" w:rsidR="004F2A5B" w:rsidRPr="00D23696" w:rsidRDefault="004F2A5B" w:rsidP="00F52FD8">
      <w:pPr>
        <w:pStyle w:val="Bullet1"/>
        <w:rPr>
          <w:szCs w:val="24"/>
        </w:rPr>
      </w:pPr>
      <w:r>
        <w:rPr>
          <w:szCs w:val="24"/>
        </w:rPr>
        <w:t>To ensure that progression routes are clear and external s</w:t>
      </w:r>
      <w:r w:rsidR="00232F9F">
        <w:rPr>
          <w:szCs w:val="24"/>
        </w:rPr>
        <w:t>t</w:t>
      </w:r>
      <w:r>
        <w:rPr>
          <w:szCs w:val="24"/>
        </w:rPr>
        <w:t>akeholders o</w:t>
      </w:r>
      <w:r w:rsidR="00232F9F">
        <w:rPr>
          <w:szCs w:val="24"/>
        </w:rPr>
        <w:t>bserve a transparent, logical process;</w:t>
      </w:r>
    </w:p>
    <w:p w14:paraId="32C57F97" w14:textId="77777777" w:rsidR="009B796D" w:rsidRPr="004F2A5B" w:rsidRDefault="009B796D" w:rsidP="009B796D">
      <w:pPr>
        <w:pStyle w:val="Bullet1"/>
        <w:rPr>
          <w:szCs w:val="24"/>
        </w:rPr>
      </w:pPr>
      <w:r w:rsidRPr="004F2A5B">
        <w:rPr>
          <w:szCs w:val="24"/>
        </w:rPr>
        <w:t>To work to the principles of the SEND Code of Practice (2014)</w:t>
      </w:r>
      <w:r w:rsidR="004F2A5B" w:rsidRPr="004F2A5B">
        <w:rPr>
          <w:szCs w:val="24"/>
        </w:rPr>
        <w:t xml:space="preserve">, </w:t>
      </w:r>
      <w:r w:rsidRPr="004F2A5B">
        <w:rPr>
          <w:szCs w:val="24"/>
        </w:rPr>
        <w:t>the Mental Capacity Act (2005)</w:t>
      </w:r>
      <w:r w:rsidR="004F2A5B" w:rsidRPr="004F2A5B">
        <w:rPr>
          <w:szCs w:val="24"/>
        </w:rPr>
        <w:t xml:space="preserve"> and </w:t>
      </w:r>
      <w:r w:rsidRPr="004F2A5B">
        <w:rPr>
          <w:szCs w:val="24"/>
        </w:rPr>
        <w:t>the Equality Act (2010);</w:t>
      </w:r>
    </w:p>
    <w:p w14:paraId="5DBC9BD2" w14:textId="77777777" w:rsidR="00F52FD8" w:rsidRPr="00D23696" w:rsidRDefault="00F52FD8" w:rsidP="00F52FD8">
      <w:pPr>
        <w:pStyle w:val="Bullet1"/>
        <w:rPr>
          <w:szCs w:val="24"/>
        </w:rPr>
      </w:pPr>
      <w:r>
        <w:rPr>
          <w:szCs w:val="24"/>
        </w:rPr>
        <w:t>To ensure reviews of the process inform quality improvement.</w:t>
      </w:r>
    </w:p>
    <w:p w14:paraId="27B2AA92" w14:textId="77777777" w:rsidR="00D23696" w:rsidRDefault="00D23696" w:rsidP="00840BF7"/>
    <w:p w14:paraId="0C46705E" w14:textId="77777777" w:rsidR="0051500A" w:rsidRDefault="00840BF7" w:rsidP="006A06C6">
      <w:pPr>
        <w:rPr>
          <w:b/>
          <w:color w:val="E57200"/>
          <w:sz w:val="48"/>
          <w:szCs w:val="48"/>
        </w:rPr>
      </w:pPr>
      <w:r>
        <w:rPr>
          <w:rFonts w:cs="Arial"/>
          <w:szCs w:val="24"/>
        </w:rPr>
        <w:t xml:space="preserve">For the college </w:t>
      </w:r>
      <w:r w:rsidR="009B796D">
        <w:rPr>
          <w:rFonts w:cs="Arial"/>
          <w:szCs w:val="24"/>
        </w:rPr>
        <w:t>transition</w:t>
      </w:r>
      <w:r w:rsidR="00A50289">
        <w:rPr>
          <w:rFonts w:cs="Arial"/>
          <w:szCs w:val="24"/>
        </w:rPr>
        <w:t xml:space="preserve"> strategy</w:t>
      </w:r>
      <w:r>
        <w:rPr>
          <w:rFonts w:cs="Arial"/>
          <w:szCs w:val="24"/>
        </w:rPr>
        <w:t xml:space="preserve"> to be effective, it is important that staff are clear about its purposes and understand the processes, protocols and outcomes</w:t>
      </w:r>
      <w:r w:rsidR="0051500A">
        <w:rPr>
          <w:rFonts w:cs="Arial"/>
          <w:szCs w:val="24"/>
        </w:rPr>
        <w:t>; and above all, perceive it as an effective and supportive mechanism for raising standards</w:t>
      </w:r>
      <w:r w:rsidR="00B7565E">
        <w:rPr>
          <w:rFonts w:cs="Arial"/>
          <w:szCs w:val="24"/>
        </w:rPr>
        <w:t xml:space="preserve"> and learner </w:t>
      </w:r>
      <w:r w:rsidR="009B796D">
        <w:rPr>
          <w:rFonts w:cs="Arial"/>
          <w:szCs w:val="24"/>
        </w:rPr>
        <w:t xml:space="preserve">journeys and </w:t>
      </w:r>
      <w:r w:rsidR="00B7565E">
        <w:rPr>
          <w:rFonts w:cs="Arial"/>
          <w:szCs w:val="24"/>
        </w:rPr>
        <w:t>experiences</w:t>
      </w:r>
      <w:r w:rsidR="0051500A">
        <w:rPr>
          <w:rFonts w:cs="Arial"/>
          <w:szCs w:val="24"/>
        </w:rPr>
        <w:t xml:space="preserve">.  Staff will monitor the effectiveness of the policy and contribute to its development through </w:t>
      </w:r>
      <w:r w:rsidR="00B7565E">
        <w:rPr>
          <w:rFonts w:cs="Arial"/>
          <w:szCs w:val="24"/>
        </w:rPr>
        <w:t>meetings and the college’s quality assurance systems.</w:t>
      </w:r>
      <w:r w:rsidR="0051500A">
        <w:rPr>
          <w:color w:val="E57200"/>
          <w:sz w:val="48"/>
          <w:szCs w:val="48"/>
        </w:rPr>
        <w:br w:type="page"/>
      </w:r>
    </w:p>
    <w:p w14:paraId="05518B03" w14:textId="77777777" w:rsidR="00344463" w:rsidRPr="00344463" w:rsidRDefault="00344463" w:rsidP="004A0EFB">
      <w:pPr>
        <w:pStyle w:val="Heading3"/>
        <w:spacing w:before="0" w:line="360" w:lineRule="auto"/>
        <w:rPr>
          <w:color w:val="653279" w:themeColor="accent1"/>
          <w:sz w:val="36"/>
        </w:rPr>
      </w:pPr>
      <w:r w:rsidRPr="00344463">
        <w:rPr>
          <w:color w:val="653279" w:themeColor="accent1"/>
          <w:sz w:val="36"/>
        </w:rPr>
        <w:lastRenderedPageBreak/>
        <w:t xml:space="preserve">Who is this </w:t>
      </w:r>
      <w:r w:rsidR="00A50289">
        <w:rPr>
          <w:color w:val="653279" w:themeColor="accent1"/>
          <w:sz w:val="36"/>
        </w:rPr>
        <w:t>strategy</w:t>
      </w:r>
      <w:r w:rsidRPr="00344463">
        <w:rPr>
          <w:color w:val="653279" w:themeColor="accent1"/>
          <w:sz w:val="36"/>
        </w:rPr>
        <w:t xml:space="preserve"> for?</w:t>
      </w:r>
    </w:p>
    <w:p w14:paraId="244EA2CC" w14:textId="77777777" w:rsidR="00927D99" w:rsidRDefault="00927D99" w:rsidP="000918A5">
      <w:pPr>
        <w:spacing w:line="240" w:lineRule="auto"/>
        <w:rPr>
          <w:szCs w:val="24"/>
        </w:rPr>
      </w:pPr>
    </w:p>
    <w:p w14:paraId="77C82221" w14:textId="77777777" w:rsidR="00840BF7" w:rsidRDefault="00840BF7" w:rsidP="00927D99">
      <w:pPr>
        <w:rPr>
          <w:szCs w:val="24"/>
        </w:rPr>
      </w:pPr>
      <w:r>
        <w:rPr>
          <w:szCs w:val="24"/>
        </w:rPr>
        <w:t xml:space="preserve">This </w:t>
      </w:r>
      <w:r w:rsidR="001D7CAF">
        <w:rPr>
          <w:szCs w:val="24"/>
        </w:rPr>
        <w:t>strategy</w:t>
      </w:r>
      <w:r>
        <w:rPr>
          <w:szCs w:val="24"/>
        </w:rPr>
        <w:t xml:space="preserve"> is for Sense College </w:t>
      </w:r>
      <w:r w:rsidR="00AF23C4">
        <w:rPr>
          <w:szCs w:val="24"/>
        </w:rPr>
        <w:t xml:space="preserve">education </w:t>
      </w:r>
      <w:r>
        <w:rPr>
          <w:szCs w:val="24"/>
        </w:rPr>
        <w:t>staff working with learners funded by the ESFA (Education and Skills Funding Agency), in addition to:</w:t>
      </w:r>
    </w:p>
    <w:p w14:paraId="53D24AC4" w14:textId="77777777" w:rsidR="00840BF7" w:rsidRDefault="00840BF7" w:rsidP="00D23696">
      <w:pPr>
        <w:rPr>
          <w:szCs w:val="24"/>
        </w:rPr>
      </w:pPr>
    </w:p>
    <w:p w14:paraId="458B27EE" w14:textId="77777777" w:rsidR="00B7565E" w:rsidRPr="009B796D" w:rsidRDefault="009B796D" w:rsidP="00B7565E">
      <w:pPr>
        <w:pStyle w:val="Bullet1"/>
        <w:spacing w:before="0" w:after="0"/>
        <w:rPr>
          <w:szCs w:val="24"/>
        </w:rPr>
      </w:pPr>
      <w:r w:rsidRPr="009B796D">
        <w:rPr>
          <w:szCs w:val="24"/>
        </w:rPr>
        <w:t>The learners, potential learner</w:t>
      </w:r>
      <w:r>
        <w:rPr>
          <w:szCs w:val="24"/>
        </w:rPr>
        <w:t>s</w:t>
      </w:r>
      <w:r w:rsidRPr="009B796D">
        <w:rPr>
          <w:szCs w:val="24"/>
        </w:rPr>
        <w:t xml:space="preserve"> and </w:t>
      </w:r>
      <w:r>
        <w:rPr>
          <w:szCs w:val="24"/>
        </w:rPr>
        <w:t>t</w:t>
      </w:r>
      <w:r w:rsidR="00B7565E" w:rsidRPr="009B796D">
        <w:rPr>
          <w:szCs w:val="24"/>
        </w:rPr>
        <w:t xml:space="preserve">he </w:t>
      </w:r>
      <w:r w:rsidR="001C528D">
        <w:rPr>
          <w:szCs w:val="24"/>
        </w:rPr>
        <w:t>p</w:t>
      </w:r>
      <w:r w:rsidR="001D7CAF" w:rsidRPr="009B796D">
        <w:rPr>
          <w:szCs w:val="24"/>
        </w:rPr>
        <w:t>arents</w:t>
      </w:r>
      <w:r w:rsidR="00B7565E" w:rsidRPr="00D23696">
        <w:rPr>
          <w:rStyle w:val="FootnoteReference"/>
          <w:color w:val="auto"/>
          <w:szCs w:val="24"/>
        </w:rPr>
        <w:footnoteReference w:id="1"/>
      </w:r>
      <w:r>
        <w:rPr>
          <w:szCs w:val="24"/>
        </w:rPr>
        <w:t>/families</w:t>
      </w:r>
      <w:r w:rsidR="00B7565E" w:rsidRPr="009B796D">
        <w:rPr>
          <w:szCs w:val="24"/>
        </w:rPr>
        <w:t xml:space="preserve"> </w:t>
      </w:r>
      <w:r w:rsidR="001D7CAF" w:rsidRPr="009B796D">
        <w:rPr>
          <w:szCs w:val="24"/>
        </w:rPr>
        <w:t xml:space="preserve">of Individuals that </w:t>
      </w:r>
      <w:r w:rsidR="00B7565E" w:rsidRPr="009B796D">
        <w:rPr>
          <w:szCs w:val="24"/>
        </w:rPr>
        <w:t>Sense supports</w:t>
      </w:r>
    </w:p>
    <w:p w14:paraId="0687B06D" w14:textId="77777777" w:rsidR="00B7565E" w:rsidRPr="00AF23C4" w:rsidRDefault="00840BF7" w:rsidP="00AF23C4">
      <w:pPr>
        <w:pStyle w:val="Bullet1"/>
        <w:spacing w:before="0" w:after="0"/>
        <w:rPr>
          <w:szCs w:val="24"/>
        </w:rPr>
      </w:pPr>
      <w:r w:rsidRPr="00B7565E">
        <w:rPr>
          <w:szCs w:val="24"/>
        </w:rPr>
        <w:t>All College Staff and Volunteers</w:t>
      </w:r>
      <w:r w:rsidR="00AF23C4">
        <w:rPr>
          <w:szCs w:val="24"/>
        </w:rPr>
        <w:t xml:space="preserve"> including the </w:t>
      </w:r>
      <w:r w:rsidR="00AF23C4" w:rsidRPr="00D23696">
        <w:rPr>
          <w:szCs w:val="24"/>
        </w:rPr>
        <w:t xml:space="preserve">Executive Principal, </w:t>
      </w:r>
      <w:r w:rsidR="007E007B">
        <w:rPr>
          <w:szCs w:val="24"/>
        </w:rPr>
        <w:t>Principal</w:t>
      </w:r>
      <w:r w:rsidR="00AF23C4" w:rsidRPr="00D23696">
        <w:rPr>
          <w:szCs w:val="24"/>
        </w:rPr>
        <w:t xml:space="preserve"> and College Senior Management Team</w:t>
      </w:r>
    </w:p>
    <w:p w14:paraId="1E880CB5" w14:textId="77777777" w:rsidR="00B7565E" w:rsidRDefault="00B7565E" w:rsidP="00B7565E">
      <w:pPr>
        <w:pStyle w:val="Bullet1"/>
        <w:spacing w:before="0" w:after="0"/>
        <w:rPr>
          <w:szCs w:val="24"/>
        </w:rPr>
      </w:pPr>
      <w:r>
        <w:rPr>
          <w:szCs w:val="24"/>
        </w:rPr>
        <w:t>Governors</w:t>
      </w:r>
    </w:p>
    <w:p w14:paraId="645C3DB0" w14:textId="77777777" w:rsidR="00344463" w:rsidRPr="00B7565E" w:rsidRDefault="00B7565E" w:rsidP="00B7565E">
      <w:pPr>
        <w:pStyle w:val="Bullet1"/>
        <w:spacing w:before="0" w:after="0"/>
        <w:rPr>
          <w:szCs w:val="24"/>
        </w:rPr>
      </w:pPr>
      <w:r>
        <w:rPr>
          <w:szCs w:val="24"/>
        </w:rPr>
        <w:t>Stakeholders</w:t>
      </w:r>
      <w:r w:rsidR="009B796D">
        <w:rPr>
          <w:szCs w:val="24"/>
        </w:rPr>
        <w:t>, including funding organisations and local authorities</w:t>
      </w:r>
    </w:p>
    <w:p w14:paraId="41B78325" w14:textId="77777777" w:rsidR="006A06C6" w:rsidRDefault="006A06C6" w:rsidP="006A06C6">
      <w:pPr>
        <w:pStyle w:val="Bullet1"/>
        <w:numPr>
          <w:ilvl w:val="0"/>
          <w:numId w:val="0"/>
        </w:numPr>
        <w:spacing w:before="0" w:after="0"/>
        <w:ind w:left="340" w:hanging="340"/>
        <w:rPr>
          <w:szCs w:val="24"/>
        </w:rPr>
      </w:pPr>
    </w:p>
    <w:p w14:paraId="382F0619" w14:textId="77777777" w:rsidR="006A06C6" w:rsidRDefault="006A06C6" w:rsidP="006A06C6">
      <w:pPr>
        <w:pStyle w:val="Bullet1"/>
        <w:numPr>
          <w:ilvl w:val="0"/>
          <w:numId w:val="0"/>
        </w:numPr>
        <w:spacing w:before="0" w:after="0"/>
        <w:rPr>
          <w:szCs w:val="24"/>
        </w:rPr>
      </w:pPr>
      <w:r>
        <w:rPr>
          <w:szCs w:val="24"/>
        </w:rPr>
        <w:t>Staff members from a learner’s previous placement (e.g. their school or day service) or those from a learner’s destination placement, may find this strategy helpful too.</w:t>
      </w:r>
    </w:p>
    <w:p w14:paraId="7F09B6E2" w14:textId="77777777" w:rsidR="00A0099A" w:rsidRPr="00D23696" w:rsidRDefault="00A0099A" w:rsidP="006A06C6">
      <w:pPr>
        <w:pStyle w:val="Bullet1"/>
        <w:numPr>
          <w:ilvl w:val="0"/>
          <w:numId w:val="0"/>
        </w:numPr>
        <w:spacing w:before="0" w:after="0"/>
        <w:rPr>
          <w:szCs w:val="24"/>
        </w:rPr>
      </w:pPr>
    </w:p>
    <w:p w14:paraId="32B9F915" w14:textId="77777777" w:rsidR="00344463" w:rsidRDefault="00344463" w:rsidP="004A0EFB">
      <w:pPr>
        <w:pStyle w:val="Heading3"/>
        <w:spacing w:before="0" w:line="360" w:lineRule="auto"/>
        <w:rPr>
          <w:color w:val="653279" w:themeColor="accent1"/>
          <w:sz w:val="36"/>
        </w:rPr>
      </w:pPr>
      <w:r w:rsidRPr="00D6210F">
        <w:rPr>
          <w:noProof/>
          <w:color w:val="653279" w:themeColor="accent1"/>
          <w:sz w:val="36"/>
          <w:lang w:eastAsia="en-GB"/>
        </w:rPr>
        <mc:AlternateContent>
          <mc:Choice Requires="wpi">
            <w:drawing>
              <wp:anchor distT="0" distB="0" distL="114300" distR="114300" simplePos="0" relativeHeight="251700224" behindDoc="0" locked="0" layoutInCell="1" allowOverlap="1" wp14:anchorId="3CE0CCD5" wp14:editId="171ED8FB">
                <wp:simplePos x="0" y="0"/>
                <wp:positionH relativeFrom="column">
                  <wp:posOffset>-682177</wp:posOffset>
                </wp:positionH>
                <wp:positionV relativeFrom="paragraph">
                  <wp:posOffset>-285353</wp:posOffset>
                </wp:positionV>
                <wp:extent cx="6120" cy="2520"/>
                <wp:effectExtent l="19050" t="38100" r="51435" b="36195"/>
                <wp:wrapNone/>
                <wp:docPr id="39" name="Ink 39"/>
                <wp:cNvGraphicFramePr/>
                <a:graphic xmlns:a="http://schemas.openxmlformats.org/drawingml/2006/main">
                  <a:graphicData uri="http://schemas.microsoft.com/office/word/2010/wordprocessingInk">
                    <w14:contentPart bwMode="auto" r:id="rId15">
                      <w14:nvContentPartPr>
                        <w14:cNvContentPartPr/>
                      </w14:nvContentPartPr>
                      <w14:xfrm>
                        <a:off x="0" y="0"/>
                        <a:ext cx="6120" cy="2520"/>
                      </w14:xfrm>
                    </w14:contentPart>
                  </a:graphicData>
                </a:graphic>
              </wp:anchor>
            </w:drawing>
          </mc:Choice>
          <mc:Fallback>
            <w:pict>
              <v:shapetype w14:anchorId="2A649B5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9" o:spid="_x0000_s1026" type="#_x0000_t75" style="position:absolute;margin-left:-55.6pt;margin-top:-24.65pt;width:4.25pt;height:4.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">
                <v:imagedata r:id="rId16" o:title=""/>
              </v:shape>
            </w:pict>
          </mc:Fallback>
        </mc:AlternateContent>
      </w:r>
      <w:r w:rsidRPr="00D6210F">
        <w:rPr>
          <w:noProof/>
          <w:color w:val="653279" w:themeColor="accent1"/>
          <w:sz w:val="36"/>
          <w:lang w:eastAsia="en-GB"/>
        </w:rPr>
        <mc:AlternateContent>
          <mc:Choice Requires="wpi">
            <w:drawing>
              <wp:anchor distT="0" distB="0" distL="114300" distR="114300" simplePos="0" relativeHeight="251699200" behindDoc="0" locked="0" layoutInCell="1" allowOverlap="1" wp14:anchorId="1576C13F" wp14:editId="07E039E0">
                <wp:simplePos x="0" y="0"/>
                <wp:positionH relativeFrom="column">
                  <wp:posOffset>8424743</wp:posOffset>
                </wp:positionH>
                <wp:positionV relativeFrom="paragraph">
                  <wp:posOffset>-2950964</wp:posOffset>
                </wp:positionV>
                <wp:extent cx="330840" cy="2673360"/>
                <wp:effectExtent l="57150" t="57150" r="50165" b="69850"/>
                <wp:wrapNone/>
                <wp:docPr id="38" name="Ink 38"/>
                <wp:cNvGraphicFramePr/>
                <a:graphic xmlns:a="http://schemas.openxmlformats.org/drawingml/2006/main">
                  <a:graphicData uri="http://schemas.microsoft.com/office/word/2010/wordprocessingInk">
                    <w14:contentPart bwMode="auto" r:id="rId17">
                      <w14:nvContentPartPr>
                        <w14:cNvContentPartPr/>
                      </w14:nvContentPartPr>
                      <w14:xfrm>
                        <a:off x="0" y="0"/>
                        <a:ext cx="330840" cy="2673360"/>
                      </w14:xfrm>
                    </w14:contentPart>
                  </a:graphicData>
                </a:graphic>
              </wp:anchor>
            </w:drawing>
          </mc:Choice>
          <mc:Fallback>
            <w:pict>
              <v:shape w14:anchorId="76C3D233" id="Ink 38" o:spid="_x0000_s1026" type="#_x0000_t75" style="position:absolute;margin-left:661.45pt;margin-top:-234.25pt;width:29.8pt;height:214.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">
                <v:imagedata r:id="rId18" o:title=""/>
              </v:shape>
            </w:pict>
          </mc:Fallback>
        </mc:AlternateContent>
      </w:r>
      <w:r w:rsidRPr="00D6210F">
        <w:rPr>
          <w:color w:val="653279" w:themeColor="accent1"/>
          <w:sz w:val="36"/>
        </w:rPr>
        <w:t xml:space="preserve">What is this </w:t>
      </w:r>
      <w:r w:rsidR="00A50289">
        <w:rPr>
          <w:color w:val="653279" w:themeColor="accent1"/>
          <w:sz w:val="36"/>
        </w:rPr>
        <w:t>strategy</w:t>
      </w:r>
      <w:r w:rsidRPr="00D6210F">
        <w:rPr>
          <w:color w:val="653279" w:themeColor="accent1"/>
          <w:sz w:val="36"/>
        </w:rPr>
        <w:t xml:space="preserve"> about?</w:t>
      </w:r>
    </w:p>
    <w:p w14:paraId="23957392" w14:textId="77777777" w:rsidR="00927D99" w:rsidRDefault="00927D99" w:rsidP="000918A5">
      <w:pPr>
        <w:pStyle w:val="BodyText"/>
        <w:spacing w:line="240" w:lineRule="auto"/>
      </w:pPr>
    </w:p>
    <w:p w14:paraId="377F72D1" w14:textId="77777777" w:rsidR="00927D99" w:rsidRDefault="00840BF7" w:rsidP="006D4340">
      <w:pPr>
        <w:pStyle w:val="BodyText"/>
      </w:pPr>
      <w:r>
        <w:t xml:space="preserve">Sense College regards the process </w:t>
      </w:r>
      <w:r w:rsidR="009B796D">
        <w:t>of transition</w:t>
      </w:r>
      <w:r w:rsidR="00B7565E">
        <w:t xml:space="preserve"> </w:t>
      </w:r>
      <w:r w:rsidR="00927D99">
        <w:t xml:space="preserve">as an essential strand </w:t>
      </w:r>
      <w:r w:rsidR="00C75F27">
        <w:t>with</w:t>
      </w:r>
      <w:r w:rsidR="00927D99">
        <w:t xml:space="preserve">in our commitment to </w:t>
      </w:r>
      <w:r w:rsidR="00C75F27">
        <w:t>co-production</w:t>
      </w:r>
      <w:r w:rsidR="00927D99">
        <w:t xml:space="preserve"> and is all about:</w:t>
      </w:r>
    </w:p>
    <w:p w14:paraId="2F64A068" w14:textId="77777777" w:rsidR="00927D99" w:rsidRDefault="00927D99" w:rsidP="00927D99">
      <w:pPr>
        <w:pStyle w:val="BodyText"/>
        <w:spacing w:line="240" w:lineRule="auto"/>
      </w:pPr>
    </w:p>
    <w:p w14:paraId="426A7F83" w14:textId="77777777" w:rsidR="009B796D" w:rsidRDefault="009B796D" w:rsidP="00927D99">
      <w:pPr>
        <w:pStyle w:val="Bullet1"/>
        <w:spacing w:before="0" w:after="0"/>
        <w:rPr>
          <w:szCs w:val="24"/>
        </w:rPr>
      </w:pPr>
      <w:r>
        <w:rPr>
          <w:szCs w:val="24"/>
        </w:rPr>
        <w:t>Planning and supporting the move to and from education provisions</w:t>
      </w:r>
      <w:r w:rsidR="000918A5">
        <w:rPr>
          <w:szCs w:val="24"/>
        </w:rPr>
        <w:t>, towards a learner’s destination outcome and/or Long Term Goal (LTG)</w:t>
      </w:r>
      <w:r>
        <w:rPr>
          <w:szCs w:val="24"/>
        </w:rPr>
        <w:t xml:space="preserve"> – </w:t>
      </w:r>
    </w:p>
    <w:p w14:paraId="0AAA943E" w14:textId="77777777" w:rsidR="009B796D" w:rsidRDefault="001F27A2" w:rsidP="00A0099A">
      <w:pPr>
        <w:pStyle w:val="Bullet2"/>
        <w:spacing w:before="0" w:after="0"/>
      </w:pPr>
      <w:r>
        <w:t>‘Transition I</w:t>
      </w:r>
      <w:r w:rsidR="009B796D">
        <w:t>n</w:t>
      </w:r>
      <w:r>
        <w:t xml:space="preserve">’ </w:t>
      </w:r>
      <w:r w:rsidR="009B796D">
        <w:t xml:space="preserve">to College – e.g. </w:t>
      </w:r>
      <w:r w:rsidR="00D419B1">
        <w:t xml:space="preserve">- </w:t>
      </w:r>
      <w:r w:rsidR="009B796D">
        <w:t>from school to college</w:t>
      </w:r>
    </w:p>
    <w:p w14:paraId="4D05C538" w14:textId="77777777" w:rsidR="009B796D" w:rsidRDefault="001F27A2" w:rsidP="00A0099A">
      <w:pPr>
        <w:pStyle w:val="Bullet2"/>
        <w:spacing w:before="0" w:after="0"/>
      </w:pPr>
      <w:r>
        <w:t>‘Year-to-</w:t>
      </w:r>
      <w:r w:rsidR="009B796D">
        <w:t>Year</w:t>
      </w:r>
      <w:r>
        <w:t>’</w:t>
      </w:r>
      <w:r w:rsidR="009B796D">
        <w:t xml:space="preserve"> changes within college - e.g. from the end of the academic year in the Summer Term, to the new academic year at the start of the Autumn Term</w:t>
      </w:r>
    </w:p>
    <w:p w14:paraId="716BE61C" w14:textId="77777777" w:rsidR="009B796D" w:rsidRDefault="001F27A2" w:rsidP="00A0099A">
      <w:pPr>
        <w:pStyle w:val="Bullet2"/>
        <w:spacing w:before="0" w:after="0"/>
      </w:pPr>
      <w:r>
        <w:t>‘Transition O</w:t>
      </w:r>
      <w:r w:rsidR="009B796D">
        <w:t>ut</w:t>
      </w:r>
      <w:r>
        <w:t>’</w:t>
      </w:r>
      <w:r w:rsidR="009B796D">
        <w:t xml:space="preserve"> of College – e.g. </w:t>
      </w:r>
      <w:r w:rsidR="00D419B1">
        <w:t>–</w:t>
      </w:r>
      <w:r w:rsidR="009B796D">
        <w:t xml:space="preserve"> </w:t>
      </w:r>
      <w:r w:rsidR="00D419B1">
        <w:t>from college to alternative further education, or employment, or day placement etc;</w:t>
      </w:r>
    </w:p>
    <w:p w14:paraId="5367A82C" w14:textId="77777777" w:rsidR="009B796D" w:rsidRDefault="00927D99" w:rsidP="009B796D">
      <w:pPr>
        <w:pStyle w:val="Bullet1"/>
        <w:spacing w:before="0" w:after="0"/>
        <w:rPr>
          <w:szCs w:val="24"/>
        </w:rPr>
      </w:pPr>
      <w:r>
        <w:rPr>
          <w:szCs w:val="24"/>
        </w:rPr>
        <w:t>Resp</w:t>
      </w:r>
      <w:r w:rsidR="009B796D">
        <w:rPr>
          <w:szCs w:val="24"/>
        </w:rPr>
        <w:t>ecting what everyone has to say and taking on board the perspectives and ideas of parents in support of the learner;</w:t>
      </w:r>
    </w:p>
    <w:p w14:paraId="4AAB7E52" w14:textId="77777777" w:rsidR="00D419B1" w:rsidRDefault="00D419B1" w:rsidP="00D419B1">
      <w:pPr>
        <w:pStyle w:val="Bullet1"/>
        <w:spacing w:before="0" w:after="0"/>
        <w:rPr>
          <w:szCs w:val="24"/>
        </w:rPr>
      </w:pPr>
      <w:r>
        <w:rPr>
          <w:szCs w:val="24"/>
        </w:rPr>
        <w:t>Planning the learner’s journey towards long term goals and aspirations.</w:t>
      </w:r>
    </w:p>
    <w:p w14:paraId="3019DD91" w14:textId="77777777" w:rsidR="00344463" w:rsidRPr="00897C7E" w:rsidRDefault="00344463" w:rsidP="004A0EFB">
      <w:pPr>
        <w:pStyle w:val="Heading3"/>
        <w:spacing w:line="360" w:lineRule="auto"/>
        <w:rPr>
          <w:color w:val="653279" w:themeColor="accent1"/>
          <w:sz w:val="36"/>
        </w:rPr>
      </w:pPr>
      <w:r w:rsidRPr="00897C7E">
        <w:rPr>
          <w:color w:val="653279" w:themeColor="accent1"/>
          <w:sz w:val="36"/>
        </w:rPr>
        <w:lastRenderedPageBreak/>
        <w:t>Contents</w:t>
      </w:r>
    </w:p>
    <w:p w14:paraId="6B55CBFB" w14:textId="77777777" w:rsidR="0051500A" w:rsidRDefault="0051500A" w:rsidP="0051500A">
      <w:pPr>
        <w:pStyle w:val="BoldOrange"/>
        <w:tabs>
          <w:tab w:val="clear" w:pos="1418"/>
          <w:tab w:val="left" w:pos="1985"/>
        </w:tabs>
        <w:spacing w:before="240" w:after="0" w:line="360" w:lineRule="auto"/>
        <w:ind w:left="0" w:firstLine="0"/>
        <w:rPr>
          <w:rStyle w:val="BoldOrangeChar"/>
          <w:b/>
          <w:lang w:val="en-GB"/>
        </w:rPr>
      </w:pPr>
    </w:p>
    <w:p w14:paraId="557F40E3" w14:textId="77777777" w:rsidR="0051500A" w:rsidRDefault="00F91F09" w:rsidP="0051500A">
      <w:pPr>
        <w:pStyle w:val="BoldOrange"/>
        <w:tabs>
          <w:tab w:val="clear" w:pos="1418"/>
          <w:tab w:val="left" w:pos="1985"/>
        </w:tabs>
        <w:spacing w:before="240" w:after="0" w:line="360" w:lineRule="auto"/>
        <w:ind w:left="0" w:firstLine="0"/>
        <w:rPr>
          <w:rStyle w:val="BoldOrangeChar"/>
          <w:color w:val="auto"/>
          <w:lang w:val="en-GB"/>
        </w:rPr>
      </w:pPr>
      <w:r>
        <w:rPr>
          <w:rStyle w:val="BoldOrangeChar"/>
          <w:b/>
          <w:lang w:val="en-GB"/>
        </w:rPr>
        <w:t>Overview</w:t>
      </w:r>
      <w:r w:rsidR="0051500A">
        <w:rPr>
          <w:rStyle w:val="BoldOrangeChar"/>
          <w:b/>
          <w:lang w:val="en-GB"/>
        </w:rPr>
        <w:t>:</w:t>
      </w:r>
      <w:r w:rsidR="0051500A">
        <w:rPr>
          <w:rStyle w:val="BoldOrangeChar"/>
          <w:b/>
          <w:lang w:val="en-GB"/>
        </w:rPr>
        <w:tab/>
      </w:r>
      <w:r w:rsidR="0051500A">
        <w:rPr>
          <w:rStyle w:val="BoldOrangeChar"/>
          <w:b/>
          <w:lang w:val="en-GB"/>
        </w:rPr>
        <w:tab/>
      </w:r>
      <w:r w:rsidR="005339CC">
        <w:rPr>
          <w:rStyle w:val="BoldOrangeChar"/>
          <w:b/>
          <w:lang w:val="en-GB"/>
        </w:rPr>
        <w:tab/>
      </w:r>
      <w:r>
        <w:rPr>
          <w:rStyle w:val="BoldOrangeChar"/>
          <w:color w:val="auto"/>
          <w:lang w:val="en-GB"/>
        </w:rPr>
        <w:t>Introduction</w:t>
      </w:r>
    </w:p>
    <w:p w14:paraId="0DE9231A" w14:textId="77777777" w:rsidR="0051500A" w:rsidRPr="0051500A" w:rsidRDefault="0051500A" w:rsidP="0051500A">
      <w:pPr>
        <w:pStyle w:val="BoldOrange"/>
        <w:tabs>
          <w:tab w:val="clear" w:pos="1418"/>
          <w:tab w:val="left" w:pos="1985"/>
        </w:tabs>
        <w:spacing w:before="240" w:after="0" w:line="360" w:lineRule="auto"/>
        <w:ind w:left="0" w:firstLine="0"/>
        <w:rPr>
          <w:b w:val="0"/>
          <w:color w:val="auto"/>
          <w:lang w:val="en-GB"/>
        </w:rPr>
      </w:pPr>
      <w:r>
        <w:rPr>
          <w:rStyle w:val="BoldOrangeChar"/>
          <w:color w:val="auto"/>
          <w:lang w:val="en-GB"/>
        </w:rPr>
        <w:tab/>
      </w:r>
      <w:r>
        <w:rPr>
          <w:rStyle w:val="BoldOrangeChar"/>
          <w:color w:val="auto"/>
          <w:lang w:val="en-GB"/>
        </w:rPr>
        <w:tab/>
      </w:r>
      <w:r w:rsidR="005339CC">
        <w:rPr>
          <w:rStyle w:val="BoldOrangeChar"/>
          <w:color w:val="auto"/>
          <w:lang w:val="en-GB"/>
        </w:rPr>
        <w:tab/>
      </w:r>
      <w:r w:rsidR="00D419B1">
        <w:rPr>
          <w:rStyle w:val="BoldOrangeChar"/>
          <w:color w:val="auto"/>
          <w:lang w:val="en-GB"/>
        </w:rPr>
        <w:t>Transition Process Cycle Flowchart</w:t>
      </w:r>
    </w:p>
    <w:p w14:paraId="43F45FBB" w14:textId="77777777" w:rsidR="005339CC" w:rsidRDefault="005339CC" w:rsidP="005339CC">
      <w:pPr>
        <w:pStyle w:val="BoldOrange"/>
        <w:spacing w:after="0" w:line="360" w:lineRule="auto"/>
        <w:ind w:left="0" w:firstLine="0"/>
        <w:rPr>
          <w:rFonts w:asciiTheme="minorHAnsi" w:eastAsiaTheme="minorEastAsia" w:hAnsiTheme="minorHAnsi" w:cstheme="minorBidi"/>
          <w:b w:val="0"/>
          <w:bCs/>
          <w:color w:val="E57200"/>
          <w:szCs w:val="24"/>
          <w:lang w:val="en-GB" w:eastAsia="zh-CN"/>
        </w:rPr>
      </w:pPr>
    </w:p>
    <w:p w14:paraId="1109671F" w14:textId="77777777" w:rsidR="00344463" w:rsidRPr="00D979A4" w:rsidRDefault="00AA4962" w:rsidP="000F790B">
      <w:pPr>
        <w:pStyle w:val="BoldOrange"/>
        <w:spacing w:before="240" w:after="0" w:line="360" w:lineRule="auto"/>
        <w:ind w:left="0" w:firstLine="0"/>
        <w:rPr>
          <w:rFonts w:asciiTheme="minorHAnsi" w:eastAsiaTheme="minorEastAsia" w:hAnsiTheme="minorHAnsi" w:cstheme="minorHAnsi"/>
          <w:bCs/>
          <w:color w:val="auto"/>
          <w:szCs w:val="24"/>
          <w:lang w:val="en-GB" w:eastAsia="zh-CN"/>
        </w:rPr>
      </w:pPr>
      <w:r>
        <w:rPr>
          <w:rFonts w:asciiTheme="minorHAnsi" w:eastAsiaTheme="minorEastAsia" w:hAnsiTheme="minorHAnsi" w:cstheme="minorBidi"/>
          <w:bCs/>
          <w:color w:val="E57200"/>
          <w:szCs w:val="24"/>
          <w:lang w:val="en-GB" w:eastAsia="zh-CN"/>
        </w:rPr>
        <w:t>Practice</w:t>
      </w:r>
      <w:r w:rsidR="00897C7E" w:rsidRPr="00897C7E">
        <w:rPr>
          <w:rFonts w:ascii="Arial Bold" w:eastAsiaTheme="minorEastAsia" w:hAnsi="Arial Bold" w:cstheme="minorBidi"/>
          <w:b w:val="0"/>
          <w:bCs/>
          <w:color w:val="E57200"/>
          <w:szCs w:val="24"/>
          <w:lang w:eastAsia="zh-CN"/>
        </w:rPr>
        <w:t>:</w:t>
      </w:r>
      <w:r w:rsidR="0051500A">
        <w:rPr>
          <w:rFonts w:asciiTheme="minorHAnsi" w:eastAsiaTheme="minorEastAsia" w:hAnsiTheme="minorHAnsi" w:cstheme="minorBidi"/>
          <w:b w:val="0"/>
          <w:bCs/>
          <w:color w:val="E57200"/>
          <w:szCs w:val="24"/>
          <w:lang w:val="en-GB" w:eastAsia="zh-CN"/>
        </w:rPr>
        <w:tab/>
      </w:r>
      <w:r w:rsidR="00E552DD">
        <w:rPr>
          <w:rFonts w:asciiTheme="minorHAnsi" w:eastAsiaTheme="minorEastAsia" w:hAnsiTheme="minorHAnsi" w:cstheme="minorBidi"/>
          <w:b w:val="0"/>
          <w:bCs/>
          <w:color w:val="E57200"/>
          <w:szCs w:val="24"/>
          <w:lang w:val="en-GB" w:eastAsia="zh-CN"/>
        </w:rPr>
        <w:tab/>
      </w:r>
      <w:r w:rsidR="00E552DD">
        <w:rPr>
          <w:rFonts w:asciiTheme="minorHAnsi" w:eastAsiaTheme="minorEastAsia" w:hAnsiTheme="minorHAnsi" w:cstheme="minorBidi"/>
          <w:b w:val="0"/>
          <w:bCs/>
          <w:color w:val="E57200"/>
          <w:szCs w:val="24"/>
          <w:lang w:val="en-GB" w:eastAsia="zh-CN"/>
        </w:rPr>
        <w:tab/>
      </w:r>
      <w:r w:rsidR="000F790B">
        <w:rPr>
          <w:rFonts w:asciiTheme="minorHAnsi" w:eastAsiaTheme="minorEastAsia" w:hAnsiTheme="minorHAnsi" w:cstheme="minorBidi"/>
          <w:b w:val="0"/>
          <w:bCs/>
          <w:color w:val="E57200"/>
          <w:szCs w:val="24"/>
          <w:lang w:val="en-GB" w:eastAsia="zh-CN"/>
        </w:rPr>
        <w:tab/>
      </w:r>
      <w:r w:rsidR="00897C7E" w:rsidRPr="00897C7E">
        <w:rPr>
          <w:rFonts w:asciiTheme="minorHAnsi" w:eastAsiaTheme="minorEastAsia" w:hAnsiTheme="minorHAnsi" w:cstheme="minorHAnsi"/>
          <w:b w:val="0"/>
          <w:bCs/>
          <w:color w:val="auto"/>
          <w:szCs w:val="24"/>
          <w:lang w:eastAsia="zh-CN"/>
        </w:rPr>
        <w:t>Part One</w:t>
      </w:r>
      <w:r w:rsidR="00897C7E">
        <w:rPr>
          <w:rFonts w:asciiTheme="minorHAnsi" w:eastAsiaTheme="minorEastAsia" w:hAnsiTheme="minorHAnsi" w:cstheme="minorHAnsi"/>
          <w:b w:val="0"/>
          <w:bCs/>
          <w:color w:val="auto"/>
          <w:szCs w:val="24"/>
          <w:lang w:val="en-GB" w:eastAsia="zh-CN"/>
        </w:rPr>
        <w:t xml:space="preserve">: </w:t>
      </w:r>
      <w:r w:rsidR="0051500A">
        <w:rPr>
          <w:rFonts w:asciiTheme="minorHAnsi" w:eastAsiaTheme="minorEastAsia" w:hAnsiTheme="minorHAnsi" w:cstheme="minorHAnsi"/>
          <w:b w:val="0"/>
          <w:bCs/>
          <w:color w:val="auto"/>
          <w:szCs w:val="24"/>
          <w:lang w:val="en-GB" w:eastAsia="zh-CN"/>
        </w:rPr>
        <w:tab/>
      </w:r>
      <w:r w:rsidR="006B0183">
        <w:rPr>
          <w:rFonts w:asciiTheme="minorHAnsi" w:eastAsiaTheme="minorEastAsia" w:hAnsiTheme="minorHAnsi" w:cstheme="minorHAnsi"/>
          <w:b w:val="0"/>
          <w:bCs/>
          <w:color w:val="auto"/>
          <w:szCs w:val="24"/>
          <w:lang w:val="en-GB" w:eastAsia="zh-CN"/>
        </w:rPr>
        <w:t>‘Transitioning I</w:t>
      </w:r>
      <w:r w:rsidR="00D419B1">
        <w:rPr>
          <w:rFonts w:asciiTheme="minorHAnsi" w:eastAsiaTheme="minorEastAsia" w:hAnsiTheme="minorHAnsi" w:cstheme="minorHAnsi"/>
          <w:b w:val="0"/>
          <w:bCs/>
          <w:color w:val="auto"/>
          <w:szCs w:val="24"/>
          <w:lang w:val="en-GB" w:eastAsia="zh-CN"/>
        </w:rPr>
        <w:t>n</w:t>
      </w:r>
      <w:r w:rsidR="006B0183">
        <w:rPr>
          <w:rFonts w:asciiTheme="minorHAnsi" w:eastAsiaTheme="minorEastAsia" w:hAnsiTheme="minorHAnsi" w:cstheme="minorHAnsi"/>
          <w:b w:val="0"/>
          <w:bCs/>
          <w:color w:val="auto"/>
          <w:szCs w:val="24"/>
          <w:lang w:val="en-GB" w:eastAsia="zh-CN"/>
        </w:rPr>
        <w:t>’</w:t>
      </w:r>
      <w:r w:rsidR="00D419B1">
        <w:rPr>
          <w:rFonts w:asciiTheme="minorHAnsi" w:eastAsiaTheme="minorEastAsia" w:hAnsiTheme="minorHAnsi" w:cstheme="minorHAnsi"/>
          <w:b w:val="0"/>
          <w:bCs/>
          <w:color w:val="auto"/>
          <w:szCs w:val="24"/>
          <w:lang w:val="en-GB" w:eastAsia="zh-CN"/>
        </w:rPr>
        <w:t xml:space="preserve"> to college</w:t>
      </w:r>
    </w:p>
    <w:p w14:paraId="30C5D01A" w14:textId="77777777" w:rsidR="00344463" w:rsidRPr="00897C7E" w:rsidRDefault="00897C7E" w:rsidP="000F790B">
      <w:pPr>
        <w:pStyle w:val="BoldOrange"/>
        <w:tabs>
          <w:tab w:val="clear" w:pos="1418"/>
        </w:tabs>
        <w:spacing w:before="240" w:after="0" w:line="360" w:lineRule="auto"/>
        <w:ind w:left="0" w:firstLine="0"/>
        <w:rPr>
          <w:rStyle w:val="BoldOrangeChar"/>
          <w:rFonts w:asciiTheme="minorHAnsi" w:hAnsiTheme="minorHAnsi" w:cstheme="minorHAnsi"/>
          <w:b/>
          <w:color w:val="auto"/>
          <w:lang w:val="en-GB"/>
        </w:rPr>
      </w:pPr>
      <w:r w:rsidRPr="00897C7E">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sidR="000F790B">
        <w:rPr>
          <w:rStyle w:val="BoldOrangeChar"/>
          <w:rFonts w:asciiTheme="minorHAnsi" w:hAnsiTheme="minorHAnsi" w:cstheme="minorHAnsi"/>
          <w:color w:val="auto"/>
          <w:lang w:val="en-GB"/>
        </w:rPr>
        <w:tab/>
      </w:r>
      <w:r>
        <w:rPr>
          <w:rStyle w:val="BoldOrangeChar"/>
          <w:rFonts w:asciiTheme="minorHAnsi" w:hAnsiTheme="minorHAnsi" w:cstheme="minorHAnsi"/>
          <w:color w:val="auto"/>
          <w:lang w:val="en-GB"/>
        </w:rPr>
        <w:t xml:space="preserve">Part Two: </w:t>
      </w:r>
      <w:r w:rsidR="0051500A">
        <w:rPr>
          <w:rStyle w:val="BoldOrangeChar"/>
          <w:rFonts w:asciiTheme="minorHAnsi" w:hAnsiTheme="minorHAnsi" w:cstheme="minorHAnsi"/>
          <w:color w:val="auto"/>
          <w:lang w:val="en-GB"/>
        </w:rPr>
        <w:tab/>
      </w:r>
      <w:r w:rsidR="006B0183">
        <w:rPr>
          <w:rStyle w:val="BoldOrangeChar"/>
          <w:rFonts w:asciiTheme="minorHAnsi" w:hAnsiTheme="minorHAnsi" w:cstheme="minorHAnsi"/>
          <w:color w:val="auto"/>
          <w:lang w:val="en-GB"/>
        </w:rPr>
        <w:t>‘Year-to-</w:t>
      </w:r>
      <w:r w:rsidR="00D419B1">
        <w:rPr>
          <w:rStyle w:val="BoldOrangeChar"/>
          <w:rFonts w:asciiTheme="minorHAnsi" w:hAnsiTheme="minorHAnsi" w:cstheme="minorHAnsi"/>
          <w:color w:val="auto"/>
          <w:lang w:val="en-GB"/>
        </w:rPr>
        <w:t>Year</w:t>
      </w:r>
      <w:r w:rsidR="006B0183">
        <w:rPr>
          <w:rStyle w:val="BoldOrangeChar"/>
          <w:rFonts w:asciiTheme="minorHAnsi" w:hAnsiTheme="minorHAnsi" w:cstheme="minorHAnsi"/>
          <w:color w:val="auto"/>
          <w:lang w:val="en-GB"/>
        </w:rPr>
        <w:t>’</w:t>
      </w:r>
      <w:r w:rsidR="00D419B1">
        <w:rPr>
          <w:rStyle w:val="BoldOrangeChar"/>
          <w:rFonts w:asciiTheme="minorHAnsi" w:hAnsiTheme="minorHAnsi" w:cstheme="minorHAnsi"/>
          <w:color w:val="auto"/>
          <w:lang w:val="en-GB"/>
        </w:rPr>
        <w:t xml:space="preserve"> transitions</w:t>
      </w:r>
    </w:p>
    <w:p w14:paraId="2FCD45FF" w14:textId="77777777" w:rsidR="00344463" w:rsidRPr="00897C7E" w:rsidRDefault="00897C7E" w:rsidP="000F790B">
      <w:pPr>
        <w:pStyle w:val="BoldOrange"/>
        <w:tabs>
          <w:tab w:val="clear" w:pos="1418"/>
        </w:tabs>
        <w:spacing w:before="240" w:after="0" w:line="360" w:lineRule="auto"/>
        <w:ind w:left="0" w:firstLine="0"/>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Three: </w:t>
      </w:r>
      <w:r w:rsidR="0051500A">
        <w:rPr>
          <w:rStyle w:val="BoldOrangeChar"/>
          <w:color w:val="auto"/>
          <w:lang w:val="en-GB"/>
        </w:rPr>
        <w:tab/>
      </w:r>
      <w:r w:rsidR="006B0183">
        <w:rPr>
          <w:rStyle w:val="BoldOrangeChar"/>
          <w:color w:val="auto"/>
          <w:lang w:val="en-GB"/>
        </w:rPr>
        <w:t>‘Transitioning O</w:t>
      </w:r>
      <w:r w:rsidR="00D419B1">
        <w:rPr>
          <w:rStyle w:val="BoldOrangeChar"/>
          <w:color w:val="auto"/>
          <w:lang w:val="en-GB"/>
        </w:rPr>
        <w:t>ut</w:t>
      </w:r>
      <w:r w:rsidR="006B0183">
        <w:rPr>
          <w:rStyle w:val="BoldOrangeChar"/>
          <w:color w:val="auto"/>
          <w:lang w:val="en-GB"/>
        </w:rPr>
        <w:t>’</w:t>
      </w:r>
      <w:r w:rsidR="00D419B1">
        <w:rPr>
          <w:rStyle w:val="BoldOrangeChar"/>
          <w:color w:val="auto"/>
          <w:lang w:val="en-GB"/>
        </w:rPr>
        <w:t xml:space="preserve"> of college</w:t>
      </w:r>
    </w:p>
    <w:p w14:paraId="7103053A" w14:textId="77777777" w:rsidR="00344463" w:rsidRPr="00897C7E" w:rsidRDefault="00897C7E" w:rsidP="000F790B">
      <w:pPr>
        <w:pStyle w:val="BoldOrange"/>
        <w:tabs>
          <w:tab w:val="clear" w:pos="1418"/>
        </w:tabs>
        <w:spacing w:before="240" w:after="0" w:line="360" w:lineRule="auto"/>
        <w:ind w:left="0" w:firstLine="0"/>
        <w:rPr>
          <w:rStyle w:val="BoldOrangeChar"/>
          <w:b/>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Pr>
          <w:rStyle w:val="BoldOrangeChar"/>
          <w:color w:val="auto"/>
          <w:lang w:val="en-GB"/>
        </w:rPr>
        <w:t xml:space="preserve">Part Four: </w:t>
      </w:r>
      <w:r w:rsidR="0051500A">
        <w:rPr>
          <w:rStyle w:val="BoldOrangeChar"/>
          <w:color w:val="auto"/>
          <w:lang w:val="en-GB"/>
        </w:rPr>
        <w:tab/>
      </w:r>
      <w:r w:rsidR="00D419B1">
        <w:rPr>
          <w:rStyle w:val="BoldOrangeChar"/>
          <w:color w:val="auto"/>
          <w:lang w:val="en-GB"/>
        </w:rPr>
        <w:t>Destination Tracking</w:t>
      </w:r>
    </w:p>
    <w:p w14:paraId="1BEC67C0" w14:textId="77777777" w:rsidR="005339CC" w:rsidRDefault="00897C7E" w:rsidP="00F91F09">
      <w:pPr>
        <w:pStyle w:val="BoldOrange"/>
        <w:tabs>
          <w:tab w:val="clear" w:pos="1418"/>
        </w:tabs>
        <w:spacing w:before="240" w:after="0" w:line="360" w:lineRule="auto"/>
        <w:ind w:left="0" w:firstLine="0"/>
        <w:rPr>
          <w:rStyle w:val="BoldOrangeChar"/>
          <w:color w:val="auto"/>
          <w:lang w:val="en-GB"/>
        </w:rPr>
      </w:pPr>
      <w:r w:rsidRPr="00897C7E">
        <w:rPr>
          <w:rStyle w:val="BoldOrangeChar"/>
          <w:color w:val="auto"/>
          <w:lang w:val="en-GB"/>
        </w:rPr>
        <w:tab/>
      </w:r>
      <w:r w:rsidR="000F790B">
        <w:rPr>
          <w:rStyle w:val="BoldOrangeChar"/>
          <w:color w:val="auto"/>
          <w:lang w:val="en-GB"/>
        </w:rPr>
        <w:tab/>
      </w:r>
      <w:r w:rsidR="000F790B">
        <w:rPr>
          <w:rStyle w:val="BoldOrangeChar"/>
          <w:color w:val="auto"/>
          <w:lang w:val="en-GB"/>
        </w:rPr>
        <w:tab/>
      </w:r>
      <w:r w:rsidR="000F790B">
        <w:rPr>
          <w:rStyle w:val="BoldOrangeChar"/>
          <w:color w:val="auto"/>
          <w:lang w:val="en-GB"/>
        </w:rPr>
        <w:tab/>
      </w:r>
      <w:r w:rsidR="00E239CD">
        <w:rPr>
          <w:rStyle w:val="BoldOrangeChar"/>
          <w:color w:val="auto"/>
          <w:lang w:val="en-GB"/>
        </w:rPr>
        <w:t>Part Five:</w:t>
      </w:r>
      <w:r w:rsidR="00E239CD">
        <w:rPr>
          <w:rStyle w:val="BoldOrangeChar"/>
          <w:color w:val="auto"/>
          <w:lang w:val="en-GB"/>
        </w:rPr>
        <w:tab/>
        <w:t>Responsibilities</w:t>
      </w:r>
    </w:p>
    <w:p w14:paraId="5754F6F5" w14:textId="77777777" w:rsidR="0051500A" w:rsidRDefault="0051500A" w:rsidP="005339CC">
      <w:pPr>
        <w:pStyle w:val="IndentedText"/>
        <w:spacing w:after="0" w:line="360" w:lineRule="auto"/>
        <w:ind w:left="0" w:firstLine="0"/>
        <w:rPr>
          <w:rStyle w:val="BoldOrangeChar"/>
          <w:lang w:val="en-GB"/>
        </w:rPr>
      </w:pPr>
    </w:p>
    <w:p w14:paraId="7192F668" w14:textId="77777777" w:rsidR="00897C7E" w:rsidRPr="0051500A" w:rsidRDefault="0051500A" w:rsidP="004A0EFB">
      <w:pPr>
        <w:pStyle w:val="IndentedText"/>
        <w:spacing w:before="240" w:after="0" w:line="360" w:lineRule="auto"/>
        <w:jc w:val="both"/>
        <w:rPr>
          <w:rStyle w:val="BoldOrangeChar"/>
          <w:lang w:val="en-GB"/>
        </w:rPr>
      </w:pPr>
      <w:r>
        <w:rPr>
          <w:rStyle w:val="BoldOrangeChar"/>
          <w:lang w:val="en-GB"/>
        </w:rPr>
        <w:t>Quality Assurance</w:t>
      </w:r>
    </w:p>
    <w:p w14:paraId="2E03F915" w14:textId="77777777" w:rsidR="00991962" w:rsidRDefault="00E239CD" w:rsidP="00E239CD">
      <w:pPr>
        <w:pStyle w:val="IndentedText"/>
        <w:spacing w:before="240" w:after="0" w:line="360" w:lineRule="auto"/>
        <w:ind w:left="0" w:firstLine="0"/>
        <w:jc w:val="both"/>
        <w:rPr>
          <w:rStyle w:val="BoldOrangeChar"/>
          <w:lang w:val="en-GB"/>
        </w:rPr>
      </w:pPr>
      <w:r>
        <w:rPr>
          <w:rStyle w:val="BoldOrangeChar"/>
          <w:lang w:val="en-GB"/>
        </w:rPr>
        <w:t>Conclusion</w:t>
      </w:r>
      <w:r>
        <w:rPr>
          <w:rStyle w:val="BoldOrangeChar"/>
        </w:rPr>
        <w:tab/>
      </w:r>
    </w:p>
    <w:p w14:paraId="6977537F" w14:textId="77777777" w:rsidR="00991962" w:rsidRDefault="00991962" w:rsidP="00E239CD">
      <w:pPr>
        <w:pStyle w:val="IndentedText"/>
        <w:spacing w:before="240" w:after="0" w:line="360" w:lineRule="auto"/>
        <w:ind w:left="0" w:firstLine="0"/>
        <w:jc w:val="both"/>
        <w:rPr>
          <w:rStyle w:val="BoldOrangeChar"/>
          <w:b w:val="0"/>
          <w:color w:val="auto"/>
          <w:lang w:val="en-GB"/>
        </w:rPr>
      </w:pPr>
      <w:r>
        <w:rPr>
          <w:rStyle w:val="BoldOrangeChar"/>
          <w:lang w:val="en-GB"/>
        </w:rPr>
        <w:t>Appendices</w:t>
      </w:r>
      <w:r>
        <w:rPr>
          <w:rStyle w:val="BoldOrangeChar"/>
          <w:lang w:val="en-GB"/>
        </w:rPr>
        <w:tab/>
      </w:r>
      <w:r>
        <w:rPr>
          <w:rStyle w:val="BoldOrangeChar"/>
          <w:lang w:val="en-GB"/>
        </w:rPr>
        <w:tab/>
      </w:r>
      <w:r>
        <w:rPr>
          <w:rStyle w:val="BoldOrangeChar"/>
          <w:lang w:val="en-GB"/>
        </w:rPr>
        <w:tab/>
      </w:r>
      <w:r>
        <w:rPr>
          <w:rStyle w:val="BoldOrangeChar"/>
          <w:lang w:val="en-GB"/>
        </w:rPr>
        <w:tab/>
      </w:r>
      <w:r>
        <w:rPr>
          <w:rStyle w:val="BoldOrangeChar"/>
          <w:b w:val="0"/>
          <w:color w:val="auto"/>
          <w:lang w:val="en-GB"/>
        </w:rPr>
        <w:t>1 – Application Form</w:t>
      </w:r>
    </w:p>
    <w:p w14:paraId="21CB2A2C" w14:textId="77777777" w:rsidR="00991962" w:rsidRDefault="00991962"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t>2 – Transition Planning Form</w:t>
      </w:r>
    </w:p>
    <w:p w14:paraId="0A1D9734" w14:textId="77777777" w:rsidR="00991962" w:rsidRDefault="00991962"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t xml:space="preserve">3 – </w:t>
      </w:r>
      <w:r w:rsidR="00D5098F">
        <w:rPr>
          <w:rStyle w:val="BoldOrangeChar"/>
          <w:b w:val="0"/>
          <w:color w:val="auto"/>
          <w:lang w:val="en-GB"/>
        </w:rPr>
        <w:t>Transition In Checklist</w:t>
      </w:r>
    </w:p>
    <w:p w14:paraId="2C3E68BA" w14:textId="77777777" w:rsidR="00AF23C4" w:rsidRDefault="00AF23C4"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t>4 – Transition In Learner Questionnaire</w:t>
      </w:r>
    </w:p>
    <w:p w14:paraId="7144824E" w14:textId="77777777" w:rsidR="00AF23C4" w:rsidRDefault="00AF23C4"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t>5 – Transition In Parent Questionnaire</w:t>
      </w:r>
    </w:p>
    <w:p w14:paraId="6C47E943" w14:textId="77777777" w:rsidR="00991962" w:rsidRDefault="00991962"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r>
      <w:r w:rsidR="00AF23C4">
        <w:rPr>
          <w:rStyle w:val="BoldOrangeChar"/>
          <w:b w:val="0"/>
          <w:color w:val="auto"/>
          <w:lang w:val="en-GB"/>
        </w:rPr>
        <w:t>6</w:t>
      </w:r>
      <w:r>
        <w:rPr>
          <w:rStyle w:val="BoldOrangeChar"/>
          <w:b w:val="0"/>
          <w:color w:val="auto"/>
          <w:lang w:val="en-GB"/>
        </w:rPr>
        <w:t xml:space="preserve"> – </w:t>
      </w:r>
      <w:r w:rsidR="00D5098F">
        <w:rPr>
          <w:rStyle w:val="BoldOrangeChar"/>
          <w:b w:val="0"/>
          <w:color w:val="auto"/>
          <w:lang w:val="en-GB"/>
        </w:rPr>
        <w:t>Transition Out Plan</w:t>
      </w:r>
    </w:p>
    <w:p w14:paraId="1DCCA428" w14:textId="77777777" w:rsidR="00991962" w:rsidRDefault="00991962" w:rsidP="00E239CD">
      <w:pPr>
        <w:pStyle w:val="IndentedText"/>
        <w:spacing w:before="240" w:after="0" w:line="360" w:lineRule="auto"/>
        <w:ind w:left="0" w:firstLine="0"/>
        <w:jc w:val="both"/>
        <w:rPr>
          <w:rStyle w:val="BoldOrangeChar"/>
          <w:b w:val="0"/>
          <w:color w:val="auto"/>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r>
      <w:r w:rsidR="00AF23C4">
        <w:rPr>
          <w:rStyle w:val="BoldOrangeChar"/>
          <w:b w:val="0"/>
          <w:color w:val="auto"/>
          <w:lang w:val="en-GB"/>
        </w:rPr>
        <w:t>7</w:t>
      </w:r>
      <w:r>
        <w:rPr>
          <w:rStyle w:val="BoldOrangeChar"/>
          <w:b w:val="0"/>
          <w:color w:val="auto"/>
          <w:lang w:val="en-GB"/>
        </w:rPr>
        <w:t xml:space="preserve"> – </w:t>
      </w:r>
      <w:r w:rsidR="00D5098F">
        <w:rPr>
          <w:rStyle w:val="BoldOrangeChar"/>
          <w:b w:val="0"/>
          <w:color w:val="auto"/>
          <w:lang w:val="en-GB"/>
        </w:rPr>
        <w:t>Destination Tracking Form</w:t>
      </w:r>
    </w:p>
    <w:p w14:paraId="4EC24CE6" w14:textId="77777777" w:rsidR="00D5098F" w:rsidRDefault="00991962" w:rsidP="00D5098F">
      <w:pPr>
        <w:pStyle w:val="IndentedText"/>
        <w:spacing w:before="240" w:after="0" w:line="360" w:lineRule="auto"/>
        <w:ind w:left="0" w:firstLine="0"/>
        <w:jc w:val="both"/>
        <w:rPr>
          <w:rStyle w:val="BoldOrangeChar"/>
          <w:b w:val="0"/>
          <w:lang w:val="en-GB"/>
        </w:rPr>
      </w:pPr>
      <w:r>
        <w:rPr>
          <w:rStyle w:val="BoldOrangeChar"/>
          <w:b w:val="0"/>
          <w:color w:val="auto"/>
          <w:lang w:val="en-GB"/>
        </w:rPr>
        <w:tab/>
      </w:r>
      <w:r>
        <w:rPr>
          <w:rStyle w:val="BoldOrangeChar"/>
          <w:b w:val="0"/>
          <w:color w:val="auto"/>
          <w:lang w:val="en-GB"/>
        </w:rPr>
        <w:tab/>
      </w:r>
      <w:r>
        <w:rPr>
          <w:rStyle w:val="BoldOrangeChar"/>
          <w:b w:val="0"/>
          <w:color w:val="auto"/>
          <w:lang w:val="en-GB"/>
        </w:rPr>
        <w:tab/>
      </w:r>
      <w:r>
        <w:rPr>
          <w:rStyle w:val="BoldOrangeChar"/>
          <w:b w:val="0"/>
          <w:color w:val="auto"/>
          <w:lang w:val="en-GB"/>
        </w:rPr>
        <w:tab/>
      </w:r>
    </w:p>
    <w:p w14:paraId="0F0D0081" w14:textId="77777777" w:rsidR="004E7C9A" w:rsidRDefault="004E7C9A" w:rsidP="00991962">
      <w:pPr>
        <w:pStyle w:val="IndentedText"/>
        <w:spacing w:before="240" w:after="0" w:line="360" w:lineRule="auto"/>
        <w:ind w:left="0" w:firstLine="0"/>
        <w:jc w:val="both"/>
        <w:rPr>
          <w:rStyle w:val="BoldOrangeChar"/>
          <w:lang w:val="en-GB"/>
        </w:rPr>
      </w:pPr>
      <w:r>
        <w:rPr>
          <w:rStyle w:val="BoldOrangeChar"/>
          <w:b w:val="0"/>
          <w:lang w:val="en-GB"/>
        </w:rPr>
        <w:br w:type="page"/>
      </w:r>
    </w:p>
    <w:p w14:paraId="00D90C64" w14:textId="77777777" w:rsidR="000F790B" w:rsidRPr="000F790B" w:rsidRDefault="00F869F7" w:rsidP="000F790B">
      <w:pPr>
        <w:pStyle w:val="Heading3"/>
        <w:spacing w:before="0" w:line="360" w:lineRule="auto"/>
        <w:rPr>
          <w:color w:val="E57200" w:themeColor="accent2"/>
          <w:sz w:val="36"/>
        </w:rPr>
      </w:pPr>
      <w:r>
        <w:rPr>
          <w:color w:val="E57200" w:themeColor="accent2"/>
          <w:sz w:val="36"/>
        </w:rPr>
        <w:lastRenderedPageBreak/>
        <w:t>Overview</w:t>
      </w:r>
    </w:p>
    <w:p w14:paraId="21BCFC4C" w14:textId="77777777" w:rsidR="000F790B" w:rsidRPr="00F73B94" w:rsidRDefault="00F869F7" w:rsidP="000F790B">
      <w:pPr>
        <w:pStyle w:val="Heading2"/>
        <w:spacing w:before="0" w:after="0" w:line="360" w:lineRule="auto"/>
        <w:rPr>
          <w:b/>
        </w:rPr>
      </w:pPr>
      <w:r>
        <w:rPr>
          <w:b/>
        </w:rPr>
        <w:t>Introduction</w:t>
      </w:r>
      <w:r w:rsidR="000F790B" w:rsidRPr="00F73B94">
        <w:rPr>
          <w:b/>
        </w:rPr>
        <w:t xml:space="preserve">: </w:t>
      </w:r>
    </w:p>
    <w:p w14:paraId="6A27AA47" w14:textId="77777777" w:rsidR="00872899" w:rsidRDefault="00872899" w:rsidP="000F790B">
      <w:pPr>
        <w:rPr>
          <w:szCs w:val="24"/>
        </w:rPr>
      </w:pPr>
    </w:p>
    <w:p w14:paraId="0EBC53C1" w14:textId="77777777" w:rsidR="000F790B" w:rsidRPr="00D23696" w:rsidRDefault="000F790B" w:rsidP="000F790B">
      <w:pPr>
        <w:rPr>
          <w:szCs w:val="24"/>
        </w:rPr>
      </w:pPr>
      <w:r w:rsidRPr="00D23696">
        <w:rPr>
          <w:szCs w:val="24"/>
        </w:rPr>
        <w:t xml:space="preserve">Sense College is committed to providing an outstanding learning environment which ensures all our learners </w:t>
      </w:r>
      <w:r w:rsidR="00F869F7">
        <w:rPr>
          <w:szCs w:val="24"/>
        </w:rPr>
        <w:t xml:space="preserve">and supportive families </w:t>
      </w:r>
      <w:r w:rsidR="00872899">
        <w:rPr>
          <w:szCs w:val="24"/>
        </w:rPr>
        <w:t>have an opportunity to be involved and have a voice in the college community</w:t>
      </w:r>
      <w:r w:rsidRPr="00D23696">
        <w:rPr>
          <w:szCs w:val="24"/>
        </w:rPr>
        <w:t>.</w:t>
      </w:r>
      <w:r w:rsidR="00D419B1">
        <w:rPr>
          <w:szCs w:val="24"/>
        </w:rPr>
        <w:t xml:space="preserve">  The college recognises that this process begins from the initial enquiry to the college, throughout the learner’s journey, towards the future goals as they leave and move on from the college.</w:t>
      </w:r>
    </w:p>
    <w:p w14:paraId="69E5C8C2" w14:textId="77777777" w:rsidR="000F790B" w:rsidRPr="00D23696" w:rsidRDefault="000F790B" w:rsidP="000F790B">
      <w:pPr>
        <w:rPr>
          <w:szCs w:val="24"/>
        </w:rPr>
      </w:pPr>
    </w:p>
    <w:p w14:paraId="2F53BCC7" w14:textId="77777777" w:rsidR="00EA47A2" w:rsidRDefault="00F869F7" w:rsidP="000F790B">
      <w:pPr>
        <w:rPr>
          <w:szCs w:val="24"/>
        </w:rPr>
      </w:pPr>
      <w:r>
        <w:rPr>
          <w:szCs w:val="24"/>
        </w:rPr>
        <w:t>Our aim is to create and foster an op</w:t>
      </w:r>
      <w:r w:rsidR="001C528D">
        <w:rPr>
          <w:szCs w:val="24"/>
        </w:rPr>
        <w:t>en and honest partnership with p</w:t>
      </w:r>
      <w:r>
        <w:rPr>
          <w:szCs w:val="24"/>
        </w:rPr>
        <w:t xml:space="preserve">arents to support </w:t>
      </w:r>
      <w:r w:rsidR="00D419B1">
        <w:rPr>
          <w:szCs w:val="24"/>
        </w:rPr>
        <w:t>the transition process</w:t>
      </w:r>
      <w:r>
        <w:rPr>
          <w:szCs w:val="24"/>
        </w:rPr>
        <w:t xml:space="preserve"> with a collaborative approach.</w:t>
      </w:r>
    </w:p>
    <w:p w14:paraId="3A7DF343" w14:textId="77777777" w:rsidR="00F869F7" w:rsidRDefault="00F869F7" w:rsidP="000F790B">
      <w:pPr>
        <w:rPr>
          <w:szCs w:val="24"/>
        </w:rPr>
      </w:pPr>
    </w:p>
    <w:p w14:paraId="0CEA2A6F" w14:textId="77777777" w:rsidR="00F869F7" w:rsidRDefault="00F869F7" w:rsidP="000F790B">
      <w:pPr>
        <w:rPr>
          <w:szCs w:val="24"/>
        </w:rPr>
      </w:pPr>
      <w:r>
        <w:rPr>
          <w:szCs w:val="24"/>
        </w:rPr>
        <w:t>We believe that when families</w:t>
      </w:r>
      <w:r w:rsidR="0061569B">
        <w:rPr>
          <w:szCs w:val="24"/>
        </w:rPr>
        <w:t xml:space="preserve"> and stakeholders</w:t>
      </w:r>
      <w:r>
        <w:rPr>
          <w:szCs w:val="24"/>
        </w:rPr>
        <w:t xml:space="preserve"> are engaged </w:t>
      </w:r>
      <w:r w:rsidR="0061569B">
        <w:rPr>
          <w:szCs w:val="24"/>
        </w:rPr>
        <w:t>and part of the</w:t>
      </w:r>
      <w:r>
        <w:rPr>
          <w:szCs w:val="24"/>
        </w:rPr>
        <w:t xml:space="preserve"> </w:t>
      </w:r>
      <w:r w:rsidR="00D419B1">
        <w:rPr>
          <w:szCs w:val="24"/>
        </w:rPr>
        <w:t xml:space="preserve">transition process </w:t>
      </w:r>
      <w:r w:rsidR="0061569B">
        <w:rPr>
          <w:szCs w:val="24"/>
        </w:rPr>
        <w:t>with the</w:t>
      </w:r>
      <w:r w:rsidR="00D419B1">
        <w:rPr>
          <w:szCs w:val="24"/>
        </w:rPr>
        <w:t xml:space="preserve"> </w:t>
      </w:r>
      <w:r>
        <w:rPr>
          <w:szCs w:val="24"/>
        </w:rPr>
        <w:t xml:space="preserve">college and with </w:t>
      </w:r>
      <w:r w:rsidR="0061569B">
        <w:rPr>
          <w:szCs w:val="24"/>
        </w:rPr>
        <w:t>the learner’s</w:t>
      </w:r>
      <w:r>
        <w:rPr>
          <w:szCs w:val="24"/>
        </w:rPr>
        <w:t xml:space="preserve"> education, then learners are better able to learn and meet their personal outcomes and goals.</w:t>
      </w:r>
    </w:p>
    <w:p w14:paraId="0E6A96AE" w14:textId="77777777" w:rsidR="00F869F7" w:rsidRDefault="00F869F7" w:rsidP="000F790B">
      <w:pPr>
        <w:rPr>
          <w:szCs w:val="24"/>
        </w:rPr>
      </w:pPr>
    </w:p>
    <w:p w14:paraId="2A234716" w14:textId="77777777" w:rsidR="00F869F7" w:rsidRDefault="00F869F7" w:rsidP="000F790B">
      <w:pPr>
        <w:rPr>
          <w:szCs w:val="24"/>
        </w:rPr>
      </w:pPr>
      <w:r>
        <w:rPr>
          <w:szCs w:val="24"/>
        </w:rPr>
        <w:t xml:space="preserve">This </w:t>
      </w:r>
      <w:r w:rsidR="0061569B">
        <w:rPr>
          <w:szCs w:val="24"/>
        </w:rPr>
        <w:t xml:space="preserve">transition </w:t>
      </w:r>
      <w:r>
        <w:rPr>
          <w:szCs w:val="24"/>
        </w:rPr>
        <w:t>strategy will be pursued under strong leadership, following a clear vision embedded in the culture of the college and shared by all staff.</w:t>
      </w:r>
    </w:p>
    <w:p w14:paraId="266AE179" w14:textId="77777777" w:rsidR="00F869F7" w:rsidRDefault="00F869F7" w:rsidP="000F790B">
      <w:pPr>
        <w:rPr>
          <w:szCs w:val="24"/>
        </w:rPr>
      </w:pPr>
    </w:p>
    <w:p w14:paraId="6D58A78F" w14:textId="77777777" w:rsidR="00F869F7" w:rsidRDefault="0061569B" w:rsidP="000F790B">
      <w:pPr>
        <w:rPr>
          <w:szCs w:val="24"/>
        </w:rPr>
      </w:pPr>
      <w:r>
        <w:rPr>
          <w:szCs w:val="24"/>
        </w:rPr>
        <w:t>Transition</w:t>
      </w:r>
      <w:r w:rsidR="00F869F7">
        <w:rPr>
          <w:szCs w:val="24"/>
        </w:rPr>
        <w:t xml:space="preserve"> is taken to include:</w:t>
      </w:r>
    </w:p>
    <w:p w14:paraId="7D211986" w14:textId="77777777" w:rsidR="00EA47A2" w:rsidRDefault="00EA47A2" w:rsidP="000F790B">
      <w:pPr>
        <w:rPr>
          <w:szCs w:val="24"/>
        </w:rPr>
      </w:pPr>
    </w:p>
    <w:p w14:paraId="79DD1E31" w14:textId="77777777" w:rsidR="00EA47A2" w:rsidRDefault="0061569B" w:rsidP="00EA47A2">
      <w:pPr>
        <w:pStyle w:val="Bullet1"/>
        <w:spacing w:before="0" w:after="0"/>
        <w:rPr>
          <w:szCs w:val="24"/>
        </w:rPr>
      </w:pPr>
      <w:r>
        <w:rPr>
          <w:b/>
          <w:szCs w:val="24"/>
        </w:rPr>
        <w:t>Transitioning into College</w:t>
      </w:r>
      <w:r w:rsidR="00EA47A2">
        <w:rPr>
          <w:szCs w:val="24"/>
        </w:rPr>
        <w:br/>
      </w:r>
    </w:p>
    <w:p w14:paraId="32DC2906" w14:textId="77777777" w:rsidR="00EA47A2" w:rsidRDefault="006870EB" w:rsidP="00EA47A2">
      <w:pPr>
        <w:pStyle w:val="Bullet1"/>
        <w:spacing w:before="0" w:after="0"/>
        <w:rPr>
          <w:szCs w:val="24"/>
        </w:rPr>
      </w:pPr>
      <w:r>
        <w:rPr>
          <w:b/>
          <w:szCs w:val="24"/>
        </w:rPr>
        <w:t>Year-to-</w:t>
      </w:r>
      <w:r w:rsidR="0061569B">
        <w:rPr>
          <w:b/>
          <w:szCs w:val="24"/>
        </w:rPr>
        <w:t>Year transitions</w:t>
      </w:r>
      <w:r w:rsidR="00EA47A2">
        <w:rPr>
          <w:szCs w:val="24"/>
        </w:rPr>
        <w:br/>
      </w:r>
    </w:p>
    <w:p w14:paraId="431EA252" w14:textId="77777777" w:rsidR="00EA47A2" w:rsidRDefault="0061569B" w:rsidP="00EA47A2">
      <w:pPr>
        <w:pStyle w:val="Bullet1"/>
        <w:spacing w:before="0" w:after="0"/>
        <w:rPr>
          <w:szCs w:val="24"/>
        </w:rPr>
      </w:pPr>
      <w:r>
        <w:rPr>
          <w:b/>
          <w:szCs w:val="24"/>
        </w:rPr>
        <w:t>Transitioning out of College</w:t>
      </w:r>
      <w:r w:rsidR="00EA47A2">
        <w:rPr>
          <w:szCs w:val="24"/>
        </w:rPr>
        <w:br/>
      </w:r>
    </w:p>
    <w:p w14:paraId="09460726" w14:textId="77777777" w:rsidR="00214485" w:rsidRPr="00D23696" w:rsidRDefault="0061569B" w:rsidP="00F869F7">
      <w:pPr>
        <w:pStyle w:val="Bullet1"/>
        <w:spacing w:before="0" w:after="0"/>
        <w:rPr>
          <w:szCs w:val="24"/>
        </w:rPr>
      </w:pPr>
      <w:r>
        <w:rPr>
          <w:b/>
          <w:szCs w:val="24"/>
        </w:rPr>
        <w:t>Destination Tracking</w:t>
      </w:r>
    </w:p>
    <w:p w14:paraId="5E8CEABC" w14:textId="77777777" w:rsidR="00A0099A" w:rsidRDefault="00A0099A">
      <w:pPr>
        <w:spacing w:before="240" w:line="300" w:lineRule="auto"/>
        <w:rPr>
          <w:szCs w:val="24"/>
        </w:rPr>
      </w:pPr>
      <w:r>
        <w:rPr>
          <w:szCs w:val="24"/>
        </w:rPr>
        <w:br w:type="page"/>
      </w:r>
    </w:p>
    <w:p w14:paraId="5F161566" w14:textId="77777777" w:rsidR="000F790B" w:rsidRPr="000F790B" w:rsidRDefault="000F790B" w:rsidP="000F790B">
      <w:pPr>
        <w:rPr>
          <w:szCs w:val="24"/>
        </w:rPr>
      </w:pPr>
    </w:p>
    <w:p w14:paraId="6D3FC17E" w14:textId="77777777" w:rsidR="00F869F7" w:rsidRDefault="0066351C" w:rsidP="000F790B">
      <w:pPr>
        <w:pStyle w:val="Heading2"/>
        <w:spacing w:before="0" w:after="0" w:line="360" w:lineRule="auto"/>
        <w:rPr>
          <w:b/>
        </w:rPr>
      </w:pPr>
      <w:r>
        <w:rPr>
          <w:b/>
        </w:rPr>
        <w:t>Transition Cycle Process</w:t>
      </w:r>
    </w:p>
    <w:p w14:paraId="41EEFE00" w14:textId="77777777" w:rsidR="000F790B" w:rsidRPr="00F73B94" w:rsidRDefault="000F790B" w:rsidP="000F790B">
      <w:pPr>
        <w:pStyle w:val="Heading2"/>
        <w:spacing w:before="0" w:after="0" w:line="360" w:lineRule="auto"/>
        <w:rPr>
          <w:b/>
        </w:rPr>
      </w:pPr>
      <w:r w:rsidRPr="00F73B94">
        <w:rPr>
          <w:b/>
        </w:rPr>
        <w:t xml:space="preserve"> </w:t>
      </w:r>
    </w:p>
    <w:p w14:paraId="08933054" w14:textId="77777777" w:rsidR="000F790B" w:rsidRPr="00D23696" w:rsidRDefault="00214485" w:rsidP="000F790B">
      <w:pPr>
        <w:rPr>
          <w:szCs w:val="24"/>
        </w:rPr>
      </w:pPr>
      <w:r w:rsidRPr="00D23696">
        <w:rPr>
          <w:szCs w:val="24"/>
        </w:rPr>
        <w:t xml:space="preserve">Our </w:t>
      </w:r>
      <w:r w:rsidR="00F869F7">
        <w:rPr>
          <w:szCs w:val="24"/>
        </w:rPr>
        <w:t>strategy</w:t>
      </w:r>
      <w:r w:rsidRPr="00D23696">
        <w:rPr>
          <w:szCs w:val="24"/>
        </w:rPr>
        <w:t xml:space="preserve"> is based on the following </w:t>
      </w:r>
      <w:r w:rsidR="00F869F7">
        <w:rPr>
          <w:szCs w:val="24"/>
        </w:rPr>
        <w:t>key points</w:t>
      </w:r>
      <w:r w:rsidRPr="00D23696">
        <w:rPr>
          <w:szCs w:val="24"/>
        </w:rPr>
        <w:t>:</w:t>
      </w:r>
    </w:p>
    <w:p w14:paraId="11B1B054" w14:textId="77777777" w:rsidR="00214485" w:rsidRPr="00D23696" w:rsidRDefault="00214485" w:rsidP="000F790B">
      <w:pPr>
        <w:rPr>
          <w:szCs w:val="24"/>
        </w:rPr>
      </w:pPr>
    </w:p>
    <w:p w14:paraId="68C647A0" w14:textId="77777777" w:rsidR="007B1A70" w:rsidRDefault="0061569B" w:rsidP="00D23696">
      <w:pPr>
        <w:pStyle w:val="Bullet1"/>
        <w:spacing w:before="0" w:after="0"/>
      </w:pPr>
      <w:r w:rsidRPr="0061569B">
        <w:rPr>
          <w:b/>
        </w:rPr>
        <w:t>The learner</w:t>
      </w:r>
      <w:r>
        <w:t xml:space="preserve"> is the most important person in the transition process and should be fully involved wherever possible</w:t>
      </w:r>
      <w:r w:rsidR="00A0099A">
        <w:t>.  This may mean that we need to provide communication support to learners</w:t>
      </w:r>
      <w:r w:rsidR="00214485" w:rsidRPr="00D23696">
        <w:t>;</w:t>
      </w:r>
    </w:p>
    <w:p w14:paraId="19B6BF69" w14:textId="77777777" w:rsidR="00214485" w:rsidRDefault="0061569B" w:rsidP="00D23696">
      <w:pPr>
        <w:pStyle w:val="Bullet1"/>
        <w:spacing w:before="0" w:after="0"/>
      </w:pPr>
      <w:r w:rsidRPr="0061569B">
        <w:rPr>
          <w:b/>
        </w:rPr>
        <w:t>Family/carers</w:t>
      </w:r>
      <w:r>
        <w:t xml:space="preserve"> are invited to transition meetings to support the learner and to agree what the next steps will be</w:t>
      </w:r>
      <w:r w:rsidR="00214485" w:rsidRPr="00D23696">
        <w:t>;</w:t>
      </w:r>
    </w:p>
    <w:p w14:paraId="12D9E368" w14:textId="77777777" w:rsidR="0061569B" w:rsidRDefault="0061569B" w:rsidP="00D23696">
      <w:pPr>
        <w:pStyle w:val="Bullet1"/>
        <w:spacing w:before="0" w:after="0"/>
      </w:pPr>
      <w:r w:rsidRPr="0061569B">
        <w:rPr>
          <w:b/>
        </w:rPr>
        <w:t>Local Authority Transitions Teams</w:t>
      </w:r>
      <w:r>
        <w:t xml:space="preserve"> will support learners to plan for their future, coordinate any necessary arrangements, liaise with other agencies and oversee the status of the learner’s Education, Health and Care Plan (EHCP)</w:t>
      </w:r>
      <w:r w:rsidR="00A0099A">
        <w:t>.  A learner and their family should be fully involved in developing this plan and have a right to contest it if they feel it is not an accurate representation of the learner</w:t>
      </w:r>
      <w:r>
        <w:t>;</w:t>
      </w:r>
    </w:p>
    <w:p w14:paraId="4BF5D277" w14:textId="77777777" w:rsidR="0061569B" w:rsidRDefault="0061569B" w:rsidP="00D23696">
      <w:pPr>
        <w:pStyle w:val="Bullet1"/>
        <w:spacing w:before="0" w:after="0"/>
      </w:pPr>
      <w:r>
        <w:rPr>
          <w:b/>
        </w:rPr>
        <w:t>Schools</w:t>
      </w:r>
      <w:r>
        <w:t xml:space="preserve"> should have started the transitions process in year 9 and a transition plan should be in place.  School staff will know the learner well and can share this information with the college staff before a learner starts their placement – usually at the assessment stage.</w:t>
      </w:r>
    </w:p>
    <w:p w14:paraId="3097F639" w14:textId="77777777" w:rsidR="0061569B" w:rsidRDefault="0061569B" w:rsidP="00D23696">
      <w:pPr>
        <w:pStyle w:val="Bullet1"/>
        <w:spacing w:before="0" w:after="0"/>
      </w:pPr>
      <w:r>
        <w:rPr>
          <w:b/>
        </w:rPr>
        <w:t>Clinical Commissioning Group (CCG) or Health Authority</w:t>
      </w:r>
      <w:r>
        <w:t xml:space="preserve"> may be involved if a learner has complex medical needs.  If a learner has complex medical needs but is </w:t>
      </w:r>
      <w:r>
        <w:rPr>
          <w:i/>
        </w:rPr>
        <w:t>not</w:t>
      </w:r>
      <w:r>
        <w:t xml:space="preserve"> receiving support from Health, they can request a Continuing Healthcare Assessment (18+).  The learner’s care manager, social worker or GP will be able to support with requesting this;</w:t>
      </w:r>
    </w:p>
    <w:p w14:paraId="50CDBE20" w14:textId="77777777" w:rsidR="00991962" w:rsidRPr="00D23696" w:rsidRDefault="0061569B" w:rsidP="00D5098F">
      <w:pPr>
        <w:pStyle w:val="Bullet1"/>
        <w:spacing w:before="0" w:after="0"/>
      </w:pPr>
      <w:r>
        <w:rPr>
          <w:b/>
        </w:rPr>
        <w:t>Sense Staff</w:t>
      </w:r>
      <w:r>
        <w:t xml:space="preserve"> will be involved in all appropriate stages of a learner’s transition;</w:t>
      </w:r>
    </w:p>
    <w:p w14:paraId="0003AE2A" w14:textId="77777777" w:rsidR="00214485" w:rsidRPr="00D23696" w:rsidRDefault="00F869F7" w:rsidP="00D23696">
      <w:pPr>
        <w:pStyle w:val="Bullet1"/>
        <w:spacing w:before="0" w:after="0"/>
      </w:pPr>
      <w:r>
        <w:t>Information is available and/or presented in a variety of methods</w:t>
      </w:r>
      <w:r w:rsidR="00214485" w:rsidRPr="00D23696">
        <w:t>;</w:t>
      </w:r>
    </w:p>
    <w:p w14:paraId="283D4140" w14:textId="77777777" w:rsidR="00214485" w:rsidRPr="00D23696" w:rsidRDefault="0061569B" w:rsidP="00D23696">
      <w:pPr>
        <w:pStyle w:val="Bullet1"/>
        <w:spacing w:before="0" w:after="0"/>
      </w:pPr>
      <w:r>
        <w:t>The learner may request support from other a</w:t>
      </w:r>
      <w:r w:rsidR="006870EB">
        <w:t xml:space="preserve">gencies or people close to them, e.g. an advocate </w:t>
      </w:r>
      <w:r>
        <w:t>and this will depend on individual circumstances</w:t>
      </w:r>
      <w:r w:rsidR="00214485" w:rsidRPr="00D23696">
        <w:t>;</w:t>
      </w:r>
    </w:p>
    <w:p w14:paraId="50FCEC5F" w14:textId="77777777" w:rsidR="00214485" w:rsidRDefault="00AF23C4" w:rsidP="00D23696">
      <w:pPr>
        <w:pStyle w:val="Bullet1"/>
        <w:spacing w:before="0" w:after="0"/>
      </w:pPr>
      <w:r>
        <w:t>S</w:t>
      </w:r>
      <w:r w:rsidR="00F869F7">
        <w:t xml:space="preserve">upport and resources </w:t>
      </w:r>
      <w:r>
        <w:t xml:space="preserve">are provided </w:t>
      </w:r>
      <w:r w:rsidR="00F869F7">
        <w:t>where possible to address parents’ issues and concerns</w:t>
      </w:r>
      <w:r w:rsidR="007C3C85">
        <w:t>.</w:t>
      </w:r>
    </w:p>
    <w:p w14:paraId="1204E20D" w14:textId="77777777" w:rsidR="007B1A70" w:rsidRDefault="007B1A70" w:rsidP="007B1A70">
      <w:pPr>
        <w:pStyle w:val="Bullet1"/>
        <w:numPr>
          <w:ilvl w:val="0"/>
          <w:numId w:val="0"/>
        </w:numPr>
        <w:spacing w:before="0" w:after="0"/>
        <w:ind w:left="340" w:hanging="340"/>
      </w:pPr>
    </w:p>
    <w:p w14:paraId="6060CD4F" w14:textId="77777777" w:rsidR="00515823" w:rsidRDefault="00515823" w:rsidP="007B1A70">
      <w:pPr>
        <w:pStyle w:val="Bullet1"/>
        <w:numPr>
          <w:ilvl w:val="0"/>
          <w:numId w:val="0"/>
        </w:numPr>
        <w:spacing w:before="0" w:after="0"/>
        <w:ind w:left="340" w:hanging="340"/>
      </w:pPr>
    </w:p>
    <w:p w14:paraId="7CB13F90" w14:textId="77777777" w:rsidR="0066351C" w:rsidRDefault="0066351C" w:rsidP="0066351C">
      <w:pPr>
        <w:pStyle w:val="Heading2"/>
        <w:spacing w:before="0" w:after="0" w:line="360" w:lineRule="auto"/>
        <w:rPr>
          <w:b/>
        </w:rPr>
      </w:pPr>
      <w:r>
        <w:rPr>
          <w:b/>
        </w:rPr>
        <w:lastRenderedPageBreak/>
        <w:t>Transition Cycle Process Flowchart</w:t>
      </w:r>
    </w:p>
    <w:tbl>
      <w:tblPr>
        <w:tblStyle w:val="TableGrid"/>
        <w:tblW w:w="0" w:type="auto"/>
        <w:tblInd w:w="340" w:type="dxa"/>
        <w:tblLook w:val="04A0" w:firstRow="1" w:lastRow="0" w:firstColumn="1" w:lastColumn="0" w:noHBand="0" w:noVBand="1"/>
      </w:tblPr>
      <w:tblGrid>
        <w:gridCol w:w="2139"/>
        <w:gridCol w:w="7149"/>
      </w:tblGrid>
      <w:tr w:rsidR="0066351C" w:rsidRPr="0066351C" w14:paraId="762C3CC6" w14:textId="77777777" w:rsidTr="0066351C">
        <w:trPr>
          <w:cantSplit/>
          <w:trHeight w:val="1134"/>
        </w:trPr>
        <w:tc>
          <w:tcPr>
            <w:tcW w:w="2178" w:type="dxa"/>
            <w:shd w:val="clear" w:color="auto" w:fill="EFEAF1" w:themeFill="accent3" w:themeFillTint="33"/>
            <w:tcMar>
              <w:top w:w="113" w:type="dxa"/>
              <w:bottom w:w="113" w:type="dxa"/>
            </w:tcMar>
            <w:textDirection w:val="btLr"/>
            <w:vAlign w:val="center"/>
          </w:tcPr>
          <w:p w14:paraId="36E07EC9" w14:textId="77777777" w:rsidR="0066351C" w:rsidRPr="0066351C" w:rsidRDefault="0066351C" w:rsidP="0066351C">
            <w:pPr>
              <w:pStyle w:val="Bullet1"/>
              <w:numPr>
                <w:ilvl w:val="0"/>
                <w:numId w:val="0"/>
              </w:numPr>
              <w:spacing w:before="0" w:after="0"/>
              <w:ind w:left="113" w:right="113"/>
              <w:jc w:val="center"/>
              <w:rPr>
                <w:b/>
                <w:sz w:val="32"/>
                <w:szCs w:val="32"/>
              </w:rPr>
            </w:pPr>
            <w:r w:rsidRPr="0066351C">
              <w:rPr>
                <w:b/>
                <w:sz w:val="32"/>
                <w:szCs w:val="32"/>
              </w:rPr>
              <w:t>Transition In</w:t>
            </w:r>
          </w:p>
        </w:tc>
        <w:tc>
          <w:tcPr>
            <w:tcW w:w="7229" w:type="dxa"/>
            <w:shd w:val="clear" w:color="auto" w:fill="EFEAF1" w:themeFill="accent3" w:themeFillTint="33"/>
            <w:tcMar>
              <w:top w:w="113" w:type="dxa"/>
              <w:bottom w:w="113" w:type="dxa"/>
            </w:tcMar>
            <w:vAlign w:val="center"/>
          </w:tcPr>
          <w:p w14:paraId="5D6CA814" w14:textId="77777777" w:rsidR="0066351C" w:rsidRDefault="0066351C" w:rsidP="0066351C">
            <w:pPr>
              <w:pStyle w:val="Bullet1"/>
              <w:numPr>
                <w:ilvl w:val="0"/>
                <w:numId w:val="0"/>
              </w:numPr>
              <w:spacing w:before="0" w:after="0"/>
              <w:rPr>
                <w:sz w:val="32"/>
                <w:szCs w:val="32"/>
              </w:rPr>
            </w:pPr>
            <w:r>
              <w:rPr>
                <w:sz w:val="32"/>
                <w:szCs w:val="32"/>
              </w:rPr>
              <w:t>Pear (Referral</w:t>
            </w:r>
            <w:r w:rsidR="00D770F8">
              <w:rPr>
                <w:sz w:val="32"/>
                <w:szCs w:val="32"/>
              </w:rPr>
              <w:t>&amp; Application</w:t>
            </w:r>
            <w:r w:rsidR="002465F2">
              <w:rPr>
                <w:sz w:val="32"/>
                <w:szCs w:val="32"/>
              </w:rPr>
              <w:t>)</w:t>
            </w:r>
            <w:r>
              <w:rPr>
                <w:sz w:val="32"/>
                <w:szCs w:val="32"/>
              </w:rPr>
              <w:t xml:space="preserve"> Process</w:t>
            </w:r>
          </w:p>
          <w:p w14:paraId="2C78F6E9" w14:textId="77777777" w:rsidR="00D5098F" w:rsidRDefault="00D5098F" w:rsidP="0066351C">
            <w:pPr>
              <w:pStyle w:val="Bullet1"/>
              <w:numPr>
                <w:ilvl w:val="0"/>
                <w:numId w:val="16"/>
              </w:numPr>
              <w:spacing w:before="0" w:after="0"/>
              <w:rPr>
                <w:sz w:val="32"/>
                <w:szCs w:val="32"/>
              </w:rPr>
            </w:pPr>
            <w:r>
              <w:rPr>
                <w:sz w:val="32"/>
                <w:szCs w:val="32"/>
              </w:rPr>
              <w:t>Application/Consultation Request</w:t>
            </w:r>
          </w:p>
          <w:p w14:paraId="37A514D9" w14:textId="77777777" w:rsidR="0066351C" w:rsidRDefault="0066351C" w:rsidP="0066351C">
            <w:pPr>
              <w:pStyle w:val="Bullet1"/>
              <w:numPr>
                <w:ilvl w:val="0"/>
                <w:numId w:val="16"/>
              </w:numPr>
              <w:spacing w:before="0" w:after="0"/>
              <w:rPr>
                <w:sz w:val="32"/>
                <w:szCs w:val="32"/>
              </w:rPr>
            </w:pPr>
            <w:r>
              <w:rPr>
                <w:sz w:val="32"/>
                <w:szCs w:val="32"/>
              </w:rPr>
              <w:t>Initial Assessment</w:t>
            </w:r>
            <w:r w:rsidR="00D5098F">
              <w:rPr>
                <w:sz w:val="32"/>
                <w:szCs w:val="32"/>
              </w:rPr>
              <w:t>s</w:t>
            </w:r>
          </w:p>
          <w:p w14:paraId="531D9841" w14:textId="77777777" w:rsidR="0066351C" w:rsidRDefault="0066351C" w:rsidP="0066351C">
            <w:pPr>
              <w:pStyle w:val="Bullet1"/>
              <w:numPr>
                <w:ilvl w:val="0"/>
                <w:numId w:val="16"/>
              </w:numPr>
              <w:spacing w:before="0" w:after="0"/>
              <w:rPr>
                <w:sz w:val="32"/>
                <w:szCs w:val="32"/>
              </w:rPr>
            </w:pPr>
            <w:r>
              <w:rPr>
                <w:sz w:val="32"/>
                <w:szCs w:val="32"/>
              </w:rPr>
              <w:t>Placement Offer and Funding Agreement</w:t>
            </w:r>
          </w:p>
          <w:p w14:paraId="3166E422" w14:textId="77777777" w:rsidR="0066351C" w:rsidRDefault="0066351C" w:rsidP="0066351C">
            <w:pPr>
              <w:pStyle w:val="Bullet1"/>
              <w:numPr>
                <w:ilvl w:val="0"/>
                <w:numId w:val="16"/>
              </w:numPr>
              <w:spacing w:before="0" w:after="0"/>
              <w:rPr>
                <w:sz w:val="32"/>
                <w:szCs w:val="32"/>
              </w:rPr>
            </w:pPr>
            <w:r>
              <w:rPr>
                <w:sz w:val="32"/>
                <w:szCs w:val="32"/>
              </w:rPr>
              <w:t>Taster Sessions/Days</w:t>
            </w:r>
          </w:p>
          <w:p w14:paraId="534AC31E" w14:textId="77777777" w:rsidR="00AF23C4" w:rsidRPr="0066351C" w:rsidRDefault="00AF23C4" w:rsidP="0066351C">
            <w:pPr>
              <w:pStyle w:val="Bullet1"/>
              <w:numPr>
                <w:ilvl w:val="0"/>
                <w:numId w:val="16"/>
              </w:numPr>
              <w:spacing w:before="0" w:after="0"/>
              <w:rPr>
                <w:sz w:val="32"/>
                <w:szCs w:val="32"/>
              </w:rPr>
            </w:pPr>
            <w:r>
              <w:rPr>
                <w:sz w:val="32"/>
                <w:szCs w:val="32"/>
              </w:rPr>
              <w:t>Transition In Reviews/Questionnaires</w:t>
            </w:r>
          </w:p>
        </w:tc>
      </w:tr>
      <w:tr w:rsidR="0066351C" w:rsidRPr="0066351C" w14:paraId="75ACE1AE" w14:textId="77777777" w:rsidTr="0066351C">
        <w:trPr>
          <w:cantSplit/>
          <w:trHeight w:val="1134"/>
        </w:trPr>
        <w:tc>
          <w:tcPr>
            <w:tcW w:w="2178" w:type="dxa"/>
            <w:shd w:val="clear" w:color="auto" w:fill="FFE2C6" w:themeFill="accent2" w:themeFillTint="33"/>
            <w:tcMar>
              <w:top w:w="113" w:type="dxa"/>
              <w:bottom w:w="113" w:type="dxa"/>
            </w:tcMar>
            <w:textDirection w:val="btLr"/>
            <w:vAlign w:val="center"/>
          </w:tcPr>
          <w:p w14:paraId="1A2460D5" w14:textId="77777777" w:rsidR="0066351C" w:rsidRPr="0066351C" w:rsidRDefault="0066351C" w:rsidP="0066351C">
            <w:pPr>
              <w:pStyle w:val="Bullet1"/>
              <w:numPr>
                <w:ilvl w:val="0"/>
                <w:numId w:val="0"/>
              </w:numPr>
              <w:spacing w:before="0" w:after="0"/>
              <w:ind w:left="113" w:right="113"/>
              <w:jc w:val="center"/>
              <w:rPr>
                <w:b/>
                <w:sz w:val="32"/>
                <w:szCs w:val="32"/>
              </w:rPr>
            </w:pPr>
            <w:r w:rsidRPr="0066351C">
              <w:rPr>
                <w:b/>
                <w:sz w:val="32"/>
                <w:szCs w:val="32"/>
              </w:rPr>
              <w:t>Year in Year</w:t>
            </w:r>
          </w:p>
        </w:tc>
        <w:tc>
          <w:tcPr>
            <w:tcW w:w="7229" w:type="dxa"/>
            <w:shd w:val="clear" w:color="auto" w:fill="FFE2C6" w:themeFill="accent2" w:themeFillTint="33"/>
            <w:tcMar>
              <w:top w:w="113" w:type="dxa"/>
              <w:bottom w:w="113" w:type="dxa"/>
            </w:tcMar>
            <w:vAlign w:val="center"/>
          </w:tcPr>
          <w:p w14:paraId="00A38A3F" w14:textId="77777777" w:rsidR="0066351C" w:rsidRDefault="0066351C" w:rsidP="0066351C">
            <w:pPr>
              <w:pStyle w:val="Bullet1"/>
              <w:numPr>
                <w:ilvl w:val="0"/>
                <w:numId w:val="0"/>
              </w:numPr>
              <w:spacing w:before="0" w:after="0"/>
              <w:rPr>
                <w:sz w:val="32"/>
                <w:szCs w:val="32"/>
              </w:rPr>
            </w:pPr>
            <w:r>
              <w:rPr>
                <w:sz w:val="32"/>
                <w:szCs w:val="32"/>
              </w:rPr>
              <w:t xml:space="preserve">Learner </w:t>
            </w:r>
            <w:r w:rsidR="00D770F8">
              <w:rPr>
                <w:sz w:val="32"/>
                <w:szCs w:val="32"/>
              </w:rPr>
              <w:t xml:space="preserve">Enrolment, </w:t>
            </w:r>
            <w:r>
              <w:rPr>
                <w:sz w:val="32"/>
                <w:szCs w:val="32"/>
              </w:rPr>
              <w:t>Agreements and Induction</w:t>
            </w:r>
          </w:p>
          <w:p w14:paraId="1CFB5593" w14:textId="77777777" w:rsidR="0066351C" w:rsidRDefault="0066351C" w:rsidP="0066351C">
            <w:pPr>
              <w:pStyle w:val="Bullet1"/>
              <w:numPr>
                <w:ilvl w:val="0"/>
                <w:numId w:val="16"/>
              </w:numPr>
              <w:spacing w:before="0" w:after="0"/>
              <w:rPr>
                <w:sz w:val="32"/>
                <w:szCs w:val="32"/>
              </w:rPr>
            </w:pPr>
            <w:r>
              <w:rPr>
                <w:sz w:val="32"/>
                <w:szCs w:val="32"/>
              </w:rPr>
              <w:t>Baseline Assessments</w:t>
            </w:r>
          </w:p>
          <w:p w14:paraId="710EB534" w14:textId="77777777" w:rsidR="0066351C" w:rsidRDefault="0066351C" w:rsidP="0066351C">
            <w:pPr>
              <w:pStyle w:val="Bullet1"/>
              <w:numPr>
                <w:ilvl w:val="0"/>
                <w:numId w:val="16"/>
              </w:numPr>
              <w:spacing w:before="0" w:after="0"/>
              <w:rPr>
                <w:sz w:val="32"/>
                <w:szCs w:val="32"/>
              </w:rPr>
            </w:pPr>
            <w:r>
              <w:rPr>
                <w:sz w:val="32"/>
                <w:szCs w:val="32"/>
              </w:rPr>
              <w:t>Termly Meetings</w:t>
            </w:r>
          </w:p>
          <w:p w14:paraId="5C4A7833" w14:textId="77777777" w:rsidR="0066351C" w:rsidRDefault="0066351C" w:rsidP="0066351C">
            <w:pPr>
              <w:pStyle w:val="Bullet1"/>
              <w:numPr>
                <w:ilvl w:val="0"/>
                <w:numId w:val="16"/>
              </w:numPr>
              <w:spacing w:before="0" w:after="0"/>
              <w:rPr>
                <w:sz w:val="32"/>
                <w:szCs w:val="32"/>
              </w:rPr>
            </w:pPr>
            <w:r>
              <w:rPr>
                <w:sz w:val="32"/>
                <w:szCs w:val="32"/>
              </w:rPr>
              <w:t>EHCP Reviews</w:t>
            </w:r>
          </w:p>
          <w:p w14:paraId="2FF218C4" w14:textId="77777777" w:rsidR="0066351C" w:rsidRPr="0066351C" w:rsidRDefault="0066351C" w:rsidP="002465F2">
            <w:pPr>
              <w:pStyle w:val="Bullet1"/>
              <w:numPr>
                <w:ilvl w:val="0"/>
                <w:numId w:val="16"/>
              </w:numPr>
              <w:spacing w:before="0" w:after="0"/>
              <w:rPr>
                <w:sz w:val="32"/>
                <w:szCs w:val="32"/>
              </w:rPr>
            </w:pPr>
            <w:r>
              <w:rPr>
                <w:sz w:val="32"/>
                <w:szCs w:val="32"/>
              </w:rPr>
              <w:t>End of Year Annual Review</w:t>
            </w:r>
          </w:p>
        </w:tc>
      </w:tr>
      <w:tr w:rsidR="0066351C" w:rsidRPr="0066351C" w14:paraId="23497A07" w14:textId="77777777" w:rsidTr="0066351C">
        <w:trPr>
          <w:cantSplit/>
          <w:trHeight w:val="1134"/>
        </w:trPr>
        <w:tc>
          <w:tcPr>
            <w:tcW w:w="2178" w:type="dxa"/>
            <w:shd w:val="clear" w:color="auto" w:fill="C9FBA7"/>
            <w:tcMar>
              <w:top w:w="113" w:type="dxa"/>
              <w:bottom w:w="113" w:type="dxa"/>
            </w:tcMar>
            <w:textDirection w:val="btLr"/>
            <w:vAlign w:val="center"/>
          </w:tcPr>
          <w:p w14:paraId="045ABF2F" w14:textId="77777777" w:rsidR="0066351C" w:rsidRPr="0066351C" w:rsidRDefault="0066351C" w:rsidP="0066351C">
            <w:pPr>
              <w:pStyle w:val="Bullet1"/>
              <w:numPr>
                <w:ilvl w:val="0"/>
                <w:numId w:val="0"/>
              </w:numPr>
              <w:spacing w:before="0" w:after="0"/>
              <w:ind w:left="113" w:right="113"/>
              <w:jc w:val="center"/>
              <w:rPr>
                <w:b/>
                <w:sz w:val="32"/>
                <w:szCs w:val="32"/>
              </w:rPr>
            </w:pPr>
            <w:r w:rsidRPr="0066351C">
              <w:rPr>
                <w:b/>
                <w:sz w:val="32"/>
                <w:szCs w:val="32"/>
              </w:rPr>
              <w:t>Transition Out</w:t>
            </w:r>
          </w:p>
        </w:tc>
        <w:tc>
          <w:tcPr>
            <w:tcW w:w="7229" w:type="dxa"/>
            <w:shd w:val="clear" w:color="auto" w:fill="C9FBA7"/>
            <w:tcMar>
              <w:top w:w="113" w:type="dxa"/>
              <w:bottom w:w="113" w:type="dxa"/>
            </w:tcMar>
            <w:vAlign w:val="center"/>
          </w:tcPr>
          <w:p w14:paraId="28652200" w14:textId="77777777" w:rsidR="0066351C" w:rsidRDefault="0066351C" w:rsidP="0066351C">
            <w:pPr>
              <w:pStyle w:val="Bullet1"/>
              <w:numPr>
                <w:ilvl w:val="0"/>
                <w:numId w:val="0"/>
              </w:numPr>
              <w:spacing w:before="0" w:after="0"/>
              <w:rPr>
                <w:sz w:val="32"/>
                <w:szCs w:val="32"/>
              </w:rPr>
            </w:pPr>
            <w:r>
              <w:rPr>
                <w:sz w:val="32"/>
                <w:szCs w:val="32"/>
              </w:rPr>
              <w:t>Transition Out Review</w:t>
            </w:r>
          </w:p>
          <w:p w14:paraId="4AD62F1E" w14:textId="77777777" w:rsidR="0066351C" w:rsidRDefault="0066351C" w:rsidP="0066351C">
            <w:pPr>
              <w:pStyle w:val="Bullet1"/>
              <w:numPr>
                <w:ilvl w:val="0"/>
                <w:numId w:val="16"/>
              </w:numPr>
              <w:spacing w:before="0" w:after="0"/>
              <w:rPr>
                <w:sz w:val="32"/>
                <w:szCs w:val="32"/>
              </w:rPr>
            </w:pPr>
            <w:r>
              <w:rPr>
                <w:sz w:val="32"/>
                <w:szCs w:val="32"/>
              </w:rPr>
              <w:t>Final EHCP Review</w:t>
            </w:r>
          </w:p>
          <w:p w14:paraId="15DA78EE" w14:textId="77777777" w:rsidR="0066351C" w:rsidRDefault="0066351C" w:rsidP="0066351C">
            <w:pPr>
              <w:pStyle w:val="Bullet1"/>
              <w:numPr>
                <w:ilvl w:val="0"/>
                <w:numId w:val="16"/>
              </w:numPr>
              <w:spacing w:before="0" w:after="0"/>
              <w:rPr>
                <w:sz w:val="32"/>
                <w:szCs w:val="32"/>
              </w:rPr>
            </w:pPr>
            <w:r>
              <w:rPr>
                <w:sz w:val="32"/>
                <w:szCs w:val="32"/>
              </w:rPr>
              <w:t xml:space="preserve">Destination Planning </w:t>
            </w:r>
            <w:r w:rsidR="00D5098F">
              <w:rPr>
                <w:sz w:val="32"/>
                <w:szCs w:val="32"/>
              </w:rPr>
              <w:t xml:space="preserve">&amp; </w:t>
            </w:r>
            <w:r>
              <w:rPr>
                <w:sz w:val="32"/>
                <w:szCs w:val="32"/>
              </w:rPr>
              <w:t>Visits</w:t>
            </w:r>
          </w:p>
          <w:p w14:paraId="795DEC91" w14:textId="77777777" w:rsidR="0066351C" w:rsidRPr="0066351C" w:rsidRDefault="0066351C" w:rsidP="002465F2">
            <w:pPr>
              <w:pStyle w:val="Bullet1"/>
              <w:numPr>
                <w:ilvl w:val="0"/>
                <w:numId w:val="16"/>
              </w:numPr>
              <w:spacing w:before="0" w:after="0"/>
              <w:rPr>
                <w:sz w:val="32"/>
                <w:szCs w:val="32"/>
              </w:rPr>
            </w:pPr>
            <w:r>
              <w:rPr>
                <w:sz w:val="32"/>
                <w:szCs w:val="32"/>
              </w:rPr>
              <w:t>End of Programme Review</w:t>
            </w:r>
          </w:p>
        </w:tc>
      </w:tr>
      <w:tr w:rsidR="0066351C" w:rsidRPr="0066351C" w14:paraId="216315C1" w14:textId="77777777" w:rsidTr="0066351C">
        <w:trPr>
          <w:cantSplit/>
          <w:trHeight w:val="1134"/>
        </w:trPr>
        <w:tc>
          <w:tcPr>
            <w:tcW w:w="2178" w:type="dxa"/>
            <w:shd w:val="clear" w:color="auto" w:fill="CCECFF"/>
            <w:tcMar>
              <w:top w:w="113" w:type="dxa"/>
              <w:bottom w:w="113" w:type="dxa"/>
            </w:tcMar>
            <w:textDirection w:val="btLr"/>
            <w:vAlign w:val="center"/>
          </w:tcPr>
          <w:p w14:paraId="54DB220D" w14:textId="77777777" w:rsidR="0066351C" w:rsidRPr="0066351C" w:rsidRDefault="00AF23C4" w:rsidP="00AF23C4">
            <w:pPr>
              <w:pStyle w:val="Bullet1"/>
              <w:numPr>
                <w:ilvl w:val="0"/>
                <w:numId w:val="0"/>
              </w:numPr>
              <w:spacing w:before="0" w:after="0"/>
              <w:ind w:left="113" w:right="113"/>
              <w:jc w:val="center"/>
              <w:rPr>
                <w:b/>
                <w:sz w:val="32"/>
                <w:szCs w:val="32"/>
              </w:rPr>
            </w:pPr>
            <w:r>
              <w:rPr>
                <w:b/>
                <w:sz w:val="32"/>
                <w:szCs w:val="32"/>
              </w:rPr>
              <w:t>D</w:t>
            </w:r>
            <w:r w:rsidR="0066351C" w:rsidRPr="0066351C">
              <w:rPr>
                <w:b/>
                <w:sz w:val="32"/>
                <w:szCs w:val="32"/>
              </w:rPr>
              <w:t>estinations Tracking</w:t>
            </w:r>
          </w:p>
        </w:tc>
        <w:tc>
          <w:tcPr>
            <w:tcW w:w="7229" w:type="dxa"/>
            <w:shd w:val="clear" w:color="auto" w:fill="CCECFF"/>
            <w:tcMar>
              <w:top w:w="113" w:type="dxa"/>
              <w:bottom w:w="113" w:type="dxa"/>
            </w:tcMar>
            <w:vAlign w:val="center"/>
          </w:tcPr>
          <w:p w14:paraId="75B63FCF" w14:textId="77777777" w:rsidR="0066351C" w:rsidRDefault="0066351C" w:rsidP="0066351C">
            <w:pPr>
              <w:pStyle w:val="Bullet1"/>
              <w:numPr>
                <w:ilvl w:val="0"/>
                <w:numId w:val="0"/>
              </w:numPr>
              <w:spacing w:before="0" w:after="0"/>
              <w:rPr>
                <w:sz w:val="32"/>
                <w:szCs w:val="32"/>
              </w:rPr>
            </w:pPr>
            <w:r>
              <w:rPr>
                <w:sz w:val="32"/>
                <w:szCs w:val="32"/>
              </w:rPr>
              <w:t>Po</w:t>
            </w:r>
            <w:r w:rsidR="00AF23C4">
              <w:rPr>
                <w:sz w:val="32"/>
                <w:szCs w:val="32"/>
              </w:rPr>
              <w:t>st College Destination Tracking/Monitoring:</w:t>
            </w:r>
          </w:p>
          <w:p w14:paraId="6BBAE866" w14:textId="77777777" w:rsidR="00AF23C4" w:rsidRDefault="00AF23C4" w:rsidP="0066351C">
            <w:pPr>
              <w:pStyle w:val="Bullet1"/>
              <w:numPr>
                <w:ilvl w:val="0"/>
                <w:numId w:val="16"/>
              </w:numPr>
              <w:spacing w:before="0" w:after="0"/>
              <w:rPr>
                <w:sz w:val="32"/>
                <w:szCs w:val="32"/>
              </w:rPr>
            </w:pPr>
            <w:r>
              <w:rPr>
                <w:sz w:val="32"/>
                <w:szCs w:val="32"/>
              </w:rPr>
              <w:t>On leaving College Placement</w:t>
            </w:r>
          </w:p>
          <w:p w14:paraId="7C728929" w14:textId="77777777" w:rsidR="0066351C" w:rsidRDefault="0066351C" w:rsidP="0066351C">
            <w:pPr>
              <w:pStyle w:val="Bullet1"/>
              <w:numPr>
                <w:ilvl w:val="0"/>
                <w:numId w:val="16"/>
              </w:numPr>
              <w:spacing w:before="0" w:after="0"/>
              <w:rPr>
                <w:sz w:val="32"/>
                <w:szCs w:val="32"/>
              </w:rPr>
            </w:pPr>
            <w:r>
              <w:rPr>
                <w:sz w:val="32"/>
                <w:szCs w:val="32"/>
              </w:rPr>
              <w:t xml:space="preserve">Post </w:t>
            </w:r>
            <w:r w:rsidR="00AF23C4">
              <w:rPr>
                <w:sz w:val="32"/>
                <w:szCs w:val="32"/>
              </w:rPr>
              <w:t xml:space="preserve">College - </w:t>
            </w:r>
            <w:r w:rsidR="00D5098F">
              <w:rPr>
                <w:sz w:val="32"/>
                <w:szCs w:val="32"/>
              </w:rPr>
              <w:t>4</w:t>
            </w:r>
            <w:r>
              <w:rPr>
                <w:sz w:val="32"/>
                <w:szCs w:val="32"/>
              </w:rPr>
              <w:t xml:space="preserve"> month Review</w:t>
            </w:r>
          </w:p>
          <w:p w14:paraId="5104F0B1" w14:textId="77777777" w:rsidR="0066351C" w:rsidRDefault="0066351C" w:rsidP="0066351C">
            <w:pPr>
              <w:pStyle w:val="Bullet1"/>
              <w:numPr>
                <w:ilvl w:val="0"/>
                <w:numId w:val="16"/>
              </w:numPr>
              <w:spacing w:before="0" w:after="0"/>
              <w:rPr>
                <w:sz w:val="32"/>
                <w:szCs w:val="32"/>
              </w:rPr>
            </w:pPr>
            <w:r>
              <w:rPr>
                <w:sz w:val="32"/>
                <w:szCs w:val="32"/>
              </w:rPr>
              <w:t xml:space="preserve">Post </w:t>
            </w:r>
            <w:r w:rsidR="00AF23C4">
              <w:rPr>
                <w:sz w:val="32"/>
                <w:szCs w:val="32"/>
              </w:rPr>
              <w:t xml:space="preserve">College - </w:t>
            </w:r>
            <w:r>
              <w:rPr>
                <w:sz w:val="32"/>
                <w:szCs w:val="32"/>
              </w:rPr>
              <w:t>12 month Review</w:t>
            </w:r>
          </w:p>
          <w:p w14:paraId="45928773" w14:textId="77777777" w:rsidR="0066351C" w:rsidRPr="0066351C" w:rsidRDefault="0066351C" w:rsidP="00D5098F">
            <w:pPr>
              <w:pStyle w:val="Bullet1"/>
              <w:numPr>
                <w:ilvl w:val="0"/>
                <w:numId w:val="0"/>
              </w:numPr>
              <w:spacing w:before="0" w:after="0"/>
              <w:ind w:left="720"/>
              <w:rPr>
                <w:sz w:val="32"/>
                <w:szCs w:val="32"/>
              </w:rPr>
            </w:pPr>
          </w:p>
        </w:tc>
      </w:tr>
    </w:tbl>
    <w:p w14:paraId="714651D2" w14:textId="77777777" w:rsidR="007C3C85" w:rsidRDefault="007C3C85" w:rsidP="00A919AB">
      <w:pPr>
        <w:pStyle w:val="Bullet1"/>
        <w:numPr>
          <w:ilvl w:val="0"/>
          <w:numId w:val="0"/>
        </w:numPr>
        <w:jc w:val="center"/>
      </w:pPr>
      <w:r>
        <w:br w:type="page"/>
      </w:r>
    </w:p>
    <w:p w14:paraId="31BDD4C9" w14:textId="77777777" w:rsidR="00B81460" w:rsidRPr="001E3A59" w:rsidRDefault="00AA4962" w:rsidP="001E3A59">
      <w:pPr>
        <w:pStyle w:val="Heading3"/>
        <w:spacing w:before="0" w:line="360" w:lineRule="auto"/>
        <w:rPr>
          <w:color w:val="E57200" w:themeColor="accent2"/>
          <w:sz w:val="36"/>
        </w:rPr>
      </w:pPr>
      <w:r>
        <w:rPr>
          <w:color w:val="E57200" w:themeColor="accent2"/>
          <w:sz w:val="36"/>
        </w:rPr>
        <w:lastRenderedPageBreak/>
        <w:t>Practice</w:t>
      </w:r>
    </w:p>
    <w:p w14:paraId="5A98E149" w14:textId="77777777" w:rsidR="00356AC8" w:rsidRDefault="00356AC8" w:rsidP="00D23696">
      <w:pPr>
        <w:pStyle w:val="Heading2"/>
        <w:spacing w:before="0" w:after="0" w:line="360" w:lineRule="auto"/>
        <w:rPr>
          <w:b/>
        </w:rPr>
      </w:pPr>
    </w:p>
    <w:p w14:paraId="36078530" w14:textId="77777777" w:rsidR="008E05BD" w:rsidRPr="00D23696" w:rsidRDefault="00897C7E" w:rsidP="00D23696">
      <w:pPr>
        <w:pStyle w:val="Heading2"/>
        <w:spacing w:before="0" w:after="0" w:line="360" w:lineRule="auto"/>
        <w:rPr>
          <w:rStyle w:val="BoldOrangeChar"/>
          <w:rFonts w:asciiTheme="majorHAnsi" w:eastAsiaTheme="minorHAnsi" w:hAnsiTheme="majorHAnsi" w:cs="Arial"/>
          <w:color w:val="653279" w:themeColor="accent1"/>
          <w:szCs w:val="24"/>
          <w:lang w:val="en-GB" w:eastAsia="en-US"/>
        </w:rPr>
      </w:pPr>
      <w:r w:rsidRPr="00F73B94">
        <w:rPr>
          <w:b/>
        </w:rPr>
        <w:t xml:space="preserve">Part One: </w:t>
      </w:r>
      <w:r w:rsidR="000918A5">
        <w:rPr>
          <w:b/>
        </w:rPr>
        <w:t>‘</w:t>
      </w:r>
      <w:r w:rsidR="000918A5">
        <w:rPr>
          <w:rStyle w:val="BoldOrangeChar"/>
          <w:lang w:val="en-GB"/>
        </w:rPr>
        <w:t>Transitioning I</w:t>
      </w:r>
      <w:r w:rsidR="005C3CCA">
        <w:rPr>
          <w:rStyle w:val="BoldOrangeChar"/>
          <w:lang w:val="en-GB"/>
        </w:rPr>
        <w:t>n</w:t>
      </w:r>
      <w:r w:rsidR="000918A5">
        <w:rPr>
          <w:rStyle w:val="BoldOrangeChar"/>
          <w:lang w:val="en-GB"/>
        </w:rPr>
        <w:t>’</w:t>
      </w:r>
      <w:r w:rsidR="005C3CCA">
        <w:rPr>
          <w:rStyle w:val="BoldOrangeChar"/>
          <w:lang w:val="en-GB"/>
        </w:rPr>
        <w:t xml:space="preserve"> to College</w:t>
      </w:r>
      <w:r w:rsidR="008E05BD" w:rsidRPr="009A31A6">
        <w:rPr>
          <w:rStyle w:val="BoldOrangeChar"/>
        </w:rPr>
        <w:t xml:space="preserve"> </w:t>
      </w:r>
    </w:p>
    <w:p w14:paraId="598D49D8" w14:textId="77777777" w:rsidR="007C3C85" w:rsidRDefault="007C3C85" w:rsidP="005339CC">
      <w:pPr>
        <w:pStyle w:val="BodyText"/>
      </w:pPr>
    </w:p>
    <w:p w14:paraId="1C56C148" w14:textId="77777777" w:rsidR="00647167" w:rsidRDefault="00AA4962" w:rsidP="00647167">
      <w:r>
        <w:t>A learner’s transition in</w:t>
      </w:r>
      <w:r w:rsidR="000918A5">
        <w:t xml:space="preserve"> </w:t>
      </w:r>
      <w:r>
        <w:t xml:space="preserve">to college will be overseen by an </w:t>
      </w:r>
      <w:r w:rsidR="007E007B">
        <w:t>Education Transitions Advisor (ETA</w:t>
      </w:r>
      <w:r>
        <w:t xml:space="preserve">), assisted by the Education Service Manager (ESM) from the most likely/required centre.  </w:t>
      </w:r>
    </w:p>
    <w:p w14:paraId="4741AA84" w14:textId="77777777" w:rsidR="00AA4962" w:rsidRDefault="00AA4962" w:rsidP="00647167"/>
    <w:p w14:paraId="3D376F1B" w14:textId="77777777" w:rsidR="00AA4962" w:rsidRDefault="00AA4962" w:rsidP="00647167">
      <w:r>
        <w:t xml:space="preserve">The </w:t>
      </w:r>
      <w:r w:rsidR="00420DD2" w:rsidRPr="00D5098F">
        <w:rPr>
          <w:u w:val="single"/>
        </w:rPr>
        <w:t>first stage</w:t>
      </w:r>
      <w:r w:rsidR="00420DD2">
        <w:t xml:space="preserve"> of the </w:t>
      </w:r>
      <w:r>
        <w:t>process is as follows:</w:t>
      </w:r>
    </w:p>
    <w:p w14:paraId="12AE40E5" w14:textId="77777777" w:rsidR="00AA4962" w:rsidRDefault="00AA4962" w:rsidP="00647167"/>
    <w:p w14:paraId="41FC3BC0" w14:textId="77777777" w:rsidR="00647167" w:rsidRDefault="00AA4962" w:rsidP="00647167">
      <w:pPr>
        <w:pStyle w:val="Bullet1"/>
      </w:pPr>
      <w:r>
        <w:t>A referral is made (following the Programme Enquiry,</w:t>
      </w:r>
      <w:r w:rsidR="001C528D">
        <w:t xml:space="preserve"> Application and Referral (PEAR</w:t>
      </w:r>
      <w:r>
        <w:t>) Process)</w:t>
      </w:r>
      <w:r w:rsidR="00A919AB">
        <w:t>;</w:t>
      </w:r>
    </w:p>
    <w:p w14:paraId="048D1530" w14:textId="77777777" w:rsidR="00D770F8" w:rsidRDefault="00D770F8" w:rsidP="00647167">
      <w:pPr>
        <w:pStyle w:val="Bullet1"/>
      </w:pPr>
      <w:r>
        <w:t xml:space="preserve">Following initial visits, an Application Form </w:t>
      </w:r>
      <w:r w:rsidR="00991962">
        <w:t>(</w:t>
      </w:r>
      <w:r w:rsidR="00991962" w:rsidRPr="00991962">
        <w:rPr>
          <w:b/>
        </w:rPr>
        <w:t>Appendix 1</w:t>
      </w:r>
      <w:r w:rsidR="00991962">
        <w:t xml:space="preserve">) </w:t>
      </w:r>
      <w:r>
        <w:t>is completed with appropriate consents for data signed,</w:t>
      </w:r>
      <w:r w:rsidR="00D5098F">
        <w:t xml:space="preserve"> and/or placement consultation letter from the Local Authority is received,</w:t>
      </w:r>
      <w:r>
        <w:t xml:space="preserve"> to enable the assessment and transition </w:t>
      </w:r>
      <w:r w:rsidR="00991962">
        <w:t xml:space="preserve">planning </w:t>
      </w:r>
      <w:r>
        <w:t>process to commence</w:t>
      </w:r>
      <w:r w:rsidR="00991962">
        <w:t>;</w:t>
      </w:r>
    </w:p>
    <w:p w14:paraId="33727D26" w14:textId="77777777" w:rsidR="00AA4962" w:rsidRDefault="00AA4962" w:rsidP="00647167">
      <w:pPr>
        <w:pStyle w:val="Bullet1"/>
      </w:pPr>
      <w:r>
        <w:t xml:space="preserve">An </w:t>
      </w:r>
      <w:r w:rsidR="007E007B">
        <w:t>ETA</w:t>
      </w:r>
      <w:r>
        <w:t xml:space="preserve"> covering the most likely college centre </w:t>
      </w:r>
      <w:r w:rsidR="00420DD2">
        <w:t xml:space="preserve">for the placement </w:t>
      </w:r>
      <w:r>
        <w:t>will be allocated</w:t>
      </w:r>
      <w:r w:rsidR="00420DD2">
        <w:t xml:space="preserve"> to complete </w:t>
      </w:r>
      <w:r w:rsidR="00D5098F">
        <w:t xml:space="preserve">the </w:t>
      </w:r>
      <w:r w:rsidR="00AF23C4">
        <w:t>Initial</w:t>
      </w:r>
      <w:r w:rsidR="00420DD2">
        <w:t xml:space="preserve"> Assessment</w:t>
      </w:r>
      <w:r w:rsidR="00AF23C4">
        <w:t xml:space="preserve"> with input from the relevant Education Coordinator (EC)</w:t>
      </w:r>
      <w:r w:rsidR="00420DD2">
        <w:t xml:space="preserve">, </w:t>
      </w:r>
      <w:r w:rsidR="00D5098F">
        <w:t xml:space="preserve">taking into account </w:t>
      </w:r>
      <w:r w:rsidR="00420DD2">
        <w:t>the learner’s EHCP</w:t>
      </w:r>
      <w:r w:rsidR="00625ADB">
        <w:t>, PCP and/or aspirations</w:t>
      </w:r>
      <w:r w:rsidR="00420DD2">
        <w:t>.  This assessment will:</w:t>
      </w:r>
    </w:p>
    <w:p w14:paraId="4A37E2CF" w14:textId="77777777" w:rsidR="00420DD2" w:rsidRDefault="00420DD2" w:rsidP="00420DD2">
      <w:pPr>
        <w:pStyle w:val="Bullet2"/>
      </w:pPr>
      <w:r>
        <w:t>Include visits to home and school;</w:t>
      </w:r>
    </w:p>
    <w:p w14:paraId="5D050E64" w14:textId="77777777" w:rsidR="00420DD2" w:rsidRDefault="00420DD2" w:rsidP="00420DD2">
      <w:pPr>
        <w:pStyle w:val="Bullet2"/>
      </w:pPr>
      <w:r>
        <w:t xml:space="preserve">Include relevant information from </w:t>
      </w:r>
      <w:r w:rsidR="00625ADB">
        <w:t xml:space="preserve">a learner’s EHCP, </w:t>
      </w:r>
      <w:r>
        <w:t>previous reports and assessments;</w:t>
      </w:r>
    </w:p>
    <w:p w14:paraId="26060173" w14:textId="77777777" w:rsidR="00420DD2" w:rsidRDefault="00420DD2" w:rsidP="00420DD2">
      <w:pPr>
        <w:pStyle w:val="Bullet2"/>
      </w:pPr>
      <w:r>
        <w:t>Include the views of the learner, their family/carers and other professionals involved in their care</w:t>
      </w:r>
      <w:r w:rsidR="006870EB">
        <w:t xml:space="preserve"> and education</w:t>
      </w:r>
      <w:r>
        <w:t>.</w:t>
      </w:r>
    </w:p>
    <w:p w14:paraId="4F725A90" w14:textId="77777777" w:rsidR="00420DD2" w:rsidRDefault="00420DD2" w:rsidP="00420DD2">
      <w:pPr>
        <w:pStyle w:val="Bullet1"/>
      </w:pPr>
      <w:r>
        <w:t xml:space="preserve">The </w:t>
      </w:r>
      <w:r w:rsidR="00D5098F">
        <w:t>Transition</w:t>
      </w:r>
      <w:r>
        <w:t xml:space="preserve"> Assessment will be shared with the relevant ESM and the College Senior Management Team (SMT) to determine whether the college can meet the needs of the learner and whether a placement can be offered;</w:t>
      </w:r>
    </w:p>
    <w:p w14:paraId="71093295" w14:textId="77777777" w:rsidR="00D770F8" w:rsidRDefault="00D770F8" w:rsidP="00420DD2">
      <w:pPr>
        <w:pStyle w:val="Bullet1"/>
      </w:pPr>
      <w:r>
        <w:t xml:space="preserve">A </w:t>
      </w:r>
      <w:r w:rsidR="00AF23C4">
        <w:t xml:space="preserve">Pathways and suggested </w:t>
      </w:r>
      <w:r>
        <w:t>Programme</w:t>
      </w:r>
      <w:r w:rsidR="00AF23C4">
        <w:t xml:space="preserve"> of Study </w:t>
      </w:r>
      <w:r>
        <w:t>will be drawn up for Education Programme learners;</w:t>
      </w:r>
    </w:p>
    <w:p w14:paraId="08E66A08" w14:textId="77777777" w:rsidR="00420DD2" w:rsidRDefault="00A63079" w:rsidP="00420DD2">
      <w:pPr>
        <w:pStyle w:val="Bullet1"/>
      </w:pPr>
      <w:r>
        <w:lastRenderedPageBreak/>
        <w:t>Offer documentation including a Service Level Agreement (SLA)</w:t>
      </w:r>
      <w:r w:rsidR="00420DD2">
        <w:t xml:space="preserve"> with costings, will be sent to the learner’s Local Authority</w:t>
      </w:r>
      <w:r w:rsidR="00D770F8">
        <w:t xml:space="preserve"> or funder</w:t>
      </w:r>
      <w:r w:rsidR="00420DD2">
        <w:t xml:space="preserve">, </w:t>
      </w:r>
      <w:r>
        <w:t>confirming</w:t>
      </w:r>
      <w:r w:rsidR="00420DD2">
        <w:t xml:space="preserve"> details of the </w:t>
      </w:r>
      <w:r>
        <w:t xml:space="preserve">proposed </w:t>
      </w:r>
      <w:r w:rsidR="00420DD2">
        <w:t>placement;</w:t>
      </w:r>
    </w:p>
    <w:p w14:paraId="0A7E579A" w14:textId="77777777" w:rsidR="00420DD2" w:rsidRDefault="00420DD2" w:rsidP="00420DD2">
      <w:pPr>
        <w:pStyle w:val="Bullet1"/>
      </w:pPr>
      <w:r>
        <w:t>A letter, without costings, will also be sent to the learner’s family/carers to let them know that the college can offer a placement;</w:t>
      </w:r>
    </w:p>
    <w:p w14:paraId="2BF3663E" w14:textId="77777777" w:rsidR="00420DD2" w:rsidRDefault="00420DD2" w:rsidP="00420DD2">
      <w:pPr>
        <w:pStyle w:val="Bullet1"/>
      </w:pPr>
      <w:r>
        <w:t xml:space="preserve">Following the acceptance of the offer and agreement to fund the placement, the </w:t>
      </w:r>
      <w:r w:rsidRPr="00420DD2">
        <w:rPr>
          <w:b/>
        </w:rPr>
        <w:t>Transition Planning Form</w:t>
      </w:r>
      <w:r>
        <w:t xml:space="preserve"> (</w:t>
      </w:r>
      <w:r w:rsidRPr="00991962">
        <w:rPr>
          <w:b/>
        </w:rPr>
        <w:t xml:space="preserve">Appendix </w:t>
      </w:r>
      <w:r w:rsidR="00991962" w:rsidRPr="00991962">
        <w:rPr>
          <w:b/>
        </w:rPr>
        <w:t>2</w:t>
      </w:r>
      <w:r>
        <w:t xml:space="preserve">) will be initiated, </w:t>
      </w:r>
      <w:r w:rsidR="00A63079">
        <w:t>in conjunction with other transition toolkits as deemed appropriate</w:t>
      </w:r>
      <w:r w:rsidR="00AF23C4">
        <w:t>, by the ESM/EC</w:t>
      </w:r>
      <w:r>
        <w:t>;</w:t>
      </w:r>
    </w:p>
    <w:p w14:paraId="33A63450" w14:textId="77777777" w:rsidR="00420DD2" w:rsidRDefault="00420DD2" w:rsidP="00420DD2">
      <w:pPr>
        <w:pStyle w:val="Bullet1"/>
      </w:pPr>
      <w:r>
        <w:t>Once funding has been agreed (as early as possible), the learner will have the opportunity to visit their intended centre and ta</w:t>
      </w:r>
      <w:r w:rsidR="00A63079">
        <w:t>ke part in taster sessions/days;</w:t>
      </w:r>
    </w:p>
    <w:p w14:paraId="0A31A819" w14:textId="77777777" w:rsidR="00A63079" w:rsidRDefault="00A63079" w:rsidP="00420DD2">
      <w:pPr>
        <w:pStyle w:val="Bullet1"/>
      </w:pPr>
      <w:r>
        <w:t>Additional Initial Assessments may be undertaken to identify appropriate support for the education, care, technology and/or behaviour needs of the learner;</w:t>
      </w:r>
    </w:p>
    <w:p w14:paraId="2E0A820D" w14:textId="77777777" w:rsidR="00FE31F5" w:rsidRDefault="00FE31F5" w:rsidP="00420DD2">
      <w:pPr>
        <w:pStyle w:val="Bullet1"/>
      </w:pPr>
      <w:r>
        <w:t>Finally start dates will be</w:t>
      </w:r>
      <w:r w:rsidR="004570FC">
        <w:t xml:space="preserve"> agreed</w:t>
      </w:r>
      <w:r w:rsidR="00A63079">
        <w:t xml:space="preserve"> and a draft study programme will be agreed</w:t>
      </w:r>
      <w:r>
        <w:t>.</w:t>
      </w:r>
    </w:p>
    <w:p w14:paraId="642C04B0" w14:textId="77777777" w:rsidR="00420DD2" w:rsidRDefault="00420DD2" w:rsidP="00420DD2">
      <w:pPr>
        <w:pStyle w:val="Bullet1"/>
        <w:numPr>
          <w:ilvl w:val="0"/>
          <w:numId w:val="0"/>
        </w:numPr>
        <w:ind w:left="340" w:hanging="340"/>
      </w:pPr>
    </w:p>
    <w:p w14:paraId="07BCB739" w14:textId="77777777" w:rsidR="00420DD2" w:rsidRDefault="00FE31F5" w:rsidP="00FE31F5">
      <w:pPr>
        <w:pStyle w:val="Bullet1"/>
        <w:numPr>
          <w:ilvl w:val="0"/>
          <w:numId w:val="0"/>
        </w:numPr>
      </w:pPr>
      <w:r>
        <w:t>The SEN code of practice principle of ‘only telling once’ will be applied throughout the process in order to seek only the information Sense may need prior to admission.</w:t>
      </w:r>
    </w:p>
    <w:p w14:paraId="6DCDACAB" w14:textId="77777777" w:rsidR="00647167" w:rsidRDefault="00647167" w:rsidP="00647167"/>
    <w:p w14:paraId="06660759" w14:textId="77777777" w:rsidR="00B47216" w:rsidRDefault="00515823" w:rsidP="00647167">
      <w:r>
        <w:t xml:space="preserve">The </w:t>
      </w:r>
      <w:r w:rsidRPr="00A63079">
        <w:rPr>
          <w:u w:val="single"/>
        </w:rPr>
        <w:t>second stage</w:t>
      </w:r>
      <w:r>
        <w:t xml:space="preserve"> of the transitioning in process focuses on the taster sessions and class visits.  </w:t>
      </w:r>
    </w:p>
    <w:p w14:paraId="1334921D" w14:textId="77777777" w:rsidR="00B47216" w:rsidRDefault="00B47216" w:rsidP="00647167"/>
    <w:p w14:paraId="62D61F86" w14:textId="77777777" w:rsidR="00200F37" w:rsidRDefault="00200F37" w:rsidP="00647167">
      <w:r>
        <w:t>Taster sessions</w:t>
      </w:r>
      <w:r w:rsidR="000918A5">
        <w:t xml:space="preserve"> at Sense and</w:t>
      </w:r>
      <w:r>
        <w:t>/</w:t>
      </w:r>
      <w:r w:rsidR="000918A5">
        <w:t xml:space="preserve">or </w:t>
      </w:r>
      <w:r>
        <w:t>visits</w:t>
      </w:r>
      <w:r w:rsidR="000918A5">
        <w:t xml:space="preserve"> to school/college</w:t>
      </w:r>
      <w:r>
        <w:t>:</w:t>
      </w:r>
    </w:p>
    <w:p w14:paraId="4B845256" w14:textId="77777777" w:rsidR="00200F37" w:rsidRDefault="00200F37" w:rsidP="00647167"/>
    <w:p w14:paraId="2E579458" w14:textId="77777777" w:rsidR="00FE31F5" w:rsidRDefault="00200F37" w:rsidP="00647167">
      <w:pPr>
        <w:pStyle w:val="Bullet1"/>
      </w:pPr>
      <w:r>
        <w:t>W</w:t>
      </w:r>
      <w:r w:rsidR="00515823">
        <w:t>ill usually be held in the Summer Term before a learner leaves school (unless the anticipated start falls within another term)</w:t>
      </w:r>
      <w:r>
        <w:t>;</w:t>
      </w:r>
      <w:r w:rsidR="00515823">
        <w:t xml:space="preserve">  </w:t>
      </w:r>
    </w:p>
    <w:p w14:paraId="70E2CB68" w14:textId="77777777" w:rsidR="00200F37" w:rsidRDefault="00200F37" w:rsidP="00647167">
      <w:pPr>
        <w:pStyle w:val="Bullet1"/>
      </w:pPr>
      <w:r>
        <w:t>Are individually planned – for example, the number of sessions will be tailored to the learner</w:t>
      </w:r>
      <w:r w:rsidR="00625ADB">
        <w:t>’s</w:t>
      </w:r>
      <w:r>
        <w:t xml:space="preserve"> needs and may begin earlier and be more frequent in order to support the transition if required;</w:t>
      </w:r>
    </w:p>
    <w:p w14:paraId="47A25402" w14:textId="77777777" w:rsidR="00200F37" w:rsidRDefault="00200F37" w:rsidP="00647167">
      <w:pPr>
        <w:pStyle w:val="Bullet1"/>
      </w:pPr>
      <w:r>
        <w:t>Are not offered to learners before funding is agreed, in case the placement does not go ahead.  This is to limit any confusion and anxiety</w:t>
      </w:r>
      <w:r w:rsidR="006870EB">
        <w:t xml:space="preserve"> for the learner</w:t>
      </w:r>
      <w:r>
        <w:t>;</w:t>
      </w:r>
    </w:p>
    <w:p w14:paraId="397DBB0D" w14:textId="77777777" w:rsidR="00200F37" w:rsidRDefault="00200F37" w:rsidP="00647167">
      <w:pPr>
        <w:pStyle w:val="Bullet1"/>
      </w:pPr>
      <w:r>
        <w:t xml:space="preserve">Will be held in the intended placement Sense College centre and may be part of a class/school visit during term time, which provides an opportunity for learners from a </w:t>
      </w:r>
      <w:r>
        <w:lastRenderedPageBreak/>
        <w:t>particular school to attend together to look around and take part in a taster session, to inform decisions about a future placement;</w:t>
      </w:r>
    </w:p>
    <w:p w14:paraId="277DB1E6" w14:textId="77777777" w:rsidR="00E864FD" w:rsidRDefault="00E864FD" w:rsidP="00647167">
      <w:pPr>
        <w:pStyle w:val="Bullet1"/>
      </w:pPr>
      <w:r>
        <w:t>Will need to be arranged ahead of time, directly with the relevant ESM and should be arranged for a mutually convenient date and time</w:t>
      </w:r>
      <w:r w:rsidR="00A63079">
        <w:t>.</w:t>
      </w:r>
    </w:p>
    <w:p w14:paraId="1C1E85AB" w14:textId="77777777" w:rsidR="00200F37" w:rsidRDefault="00200F37" w:rsidP="000918A5">
      <w:pPr>
        <w:pStyle w:val="Bullet1"/>
        <w:numPr>
          <w:ilvl w:val="0"/>
          <w:numId w:val="0"/>
        </w:numPr>
        <w:spacing w:before="0" w:after="0"/>
      </w:pPr>
    </w:p>
    <w:p w14:paraId="59FAC50A" w14:textId="77777777" w:rsidR="00647167" w:rsidRDefault="00E864FD" w:rsidP="00647167">
      <w:r>
        <w:t xml:space="preserve">The </w:t>
      </w:r>
      <w:r w:rsidRPr="00A63079">
        <w:rPr>
          <w:u w:val="single"/>
        </w:rPr>
        <w:t>final stage</w:t>
      </w:r>
      <w:r>
        <w:t xml:space="preserve"> of the transitioning in process takes place upon starting the placement and programme of study at the college.</w:t>
      </w:r>
    </w:p>
    <w:p w14:paraId="0465FB42" w14:textId="77777777" w:rsidR="004570FC" w:rsidRDefault="004570FC" w:rsidP="005339CC">
      <w:pPr>
        <w:pStyle w:val="BodyText"/>
      </w:pPr>
    </w:p>
    <w:p w14:paraId="5764D8A9" w14:textId="77777777" w:rsidR="00E864FD" w:rsidRDefault="00E864FD" w:rsidP="005339CC">
      <w:pPr>
        <w:pStyle w:val="BodyText"/>
      </w:pPr>
      <w:r>
        <w:t>Upon joining the college:</w:t>
      </w:r>
    </w:p>
    <w:p w14:paraId="52D8A263" w14:textId="77777777" w:rsidR="00E864FD" w:rsidRDefault="00E864FD" w:rsidP="005339CC">
      <w:pPr>
        <w:pStyle w:val="BodyText"/>
      </w:pPr>
    </w:p>
    <w:p w14:paraId="5BDA8562" w14:textId="77777777" w:rsidR="00B47216" w:rsidRDefault="00B47216" w:rsidP="00E864FD">
      <w:pPr>
        <w:pStyle w:val="Bullet1"/>
      </w:pPr>
      <w:r>
        <w:t xml:space="preserve">The learner </w:t>
      </w:r>
      <w:r w:rsidR="00A63079">
        <w:t>Admission</w:t>
      </w:r>
      <w:r w:rsidR="00991962">
        <w:t xml:space="preserve"> </w:t>
      </w:r>
      <w:r>
        <w:t xml:space="preserve">process will be completed which includes confirming learner details and prior accreditation/learning, </w:t>
      </w:r>
      <w:r w:rsidR="00A63079">
        <w:t xml:space="preserve">completing enrolment documentation included </w:t>
      </w:r>
      <w:r>
        <w:t xml:space="preserve">signing the </w:t>
      </w:r>
      <w:r w:rsidRPr="00A63079">
        <w:t>learner-college agreement</w:t>
      </w:r>
      <w:r>
        <w:t xml:space="preserve"> and </w:t>
      </w:r>
      <w:r w:rsidR="00991962" w:rsidRPr="00A63079">
        <w:t xml:space="preserve">e-Safety </w:t>
      </w:r>
      <w:r w:rsidRPr="00A63079">
        <w:t xml:space="preserve">acceptable use </w:t>
      </w:r>
      <w:r w:rsidR="00991962" w:rsidRPr="00A63079">
        <w:t>agreement</w:t>
      </w:r>
      <w:r>
        <w:t xml:space="preserve"> relating to Information Learning Technologies and Assistive Technologies, including the internet;</w:t>
      </w:r>
    </w:p>
    <w:p w14:paraId="693BDD23" w14:textId="77777777" w:rsidR="00B47216" w:rsidRDefault="00B47216" w:rsidP="00E864FD">
      <w:pPr>
        <w:pStyle w:val="Bullet1"/>
      </w:pPr>
      <w:r>
        <w:t xml:space="preserve">An </w:t>
      </w:r>
      <w:r w:rsidRPr="008F0756">
        <w:rPr>
          <w:b/>
        </w:rPr>
        <w:t>Induction Pack</w:t>
      </w:r>
      <w:r>
        <w:t xml:space="preserve"> will be supplied to the learner;</w:t>
      </w:r>
    </w:p>
    <w:p w14:paraId="389F6E11" w14:textId="77777777" w:rsidR="00A63079" w:rsidRDefault="00A63079" w:rsidP="00E864FD">
      <w:pPr>
        <w:pStyle w:val="Bullet1"/>
      </w:pPr>
      <w:r>
        <w:t xml:space="preserve">An </w:t>
      </w:r>
      <w:r>
        <w:rPr>
          <w:b/>
        </w:rPr>
        <w:t>Information Pack</w:t>
      </w:r>
      <w:r>
        <w:t xml:space="preserve"> will be supplied to the parents/carers;</w:t>
      </w:r>
    </w:p>
    <w:p w14:paraId="574E60A9" w14:textId="77777777" w:rsidR="00E864FD" w:rsidRDefault="00E864FD" w:rsidP="00E864FD">
      <w:pPr>
        <w:pStyle w:val="Bullet1"/>
      </w:pPr>
      <w:r>
        <w:t>A learner’s EHCP will inform</w:t>
      </w:r>
      <w:r w:rsidR="00AF23C4">
        <w:t xml:space="preserve"> the</w:t>
      </w:r>
      <w:r w:rsidRPr="008F0756">
        <w:rPr>
          <w:b/>
        </w:rPr>
        <w:t xml:space="preserve"> </w:t>
      </w:r>
      <w:r w:rsidR="00AF23C4">
        <w:rPr>
          <w:b/>
        </w:rPr>
        <w:t xml:space="preserve">Initial </w:t>
      </w:r>
      <w:r w:rsidRPr="008F0756">
        <w:rPr>
          <w:b/>
        </w:rPr>
        <w:t>Assessments</w:t>
      </w:r>
      <w:r>
        <w:t xml:space="preserve">.  </w:t>
      </w:r>
      <w:r w:rsidR="00AF23C4">
        <w:t>These</w:t>
      </w:r>
      <w:r>
        <w:t xml:space="preserve"> are completed within the learner’s </w:t>
      </w:r>
      <w:r w:rsidR="00A63079">
        <w:t>first few</w:t>
      </w:r>
      <w:r>
        <w:t xml:space="preserve"> </w:t>
      </w:r>
      <w:r w:rsidR="00AF23C4">
        <w:t>meetings to</w:t>
      </w:r>
      <w:r>
        <w:t xml:space="preserve"> identify their sta</w:t>
      </w:r>
      <w:r w:rsidR="008A1C36">
        <w:t>rting point</w:t>
      </w:r>
      <w:r w:rsidR="00A63079">
        <w:t xml:space="preserve"> within the curriculum pathway</w:t>
      </w:r>
      <w:r w:rsidR="00625ADB">
        <w:t xml:space="preserve">, </w:t>
      </w:r>
      <w:r w:rsidR="00625ADB" w:rsidRPr="006870EB">
        <w:rPr>
          <w:b/>
        </w:rPr>
        <w:t xml:space="preserve">including </w:t>
      </w:r>
      <w:r w:rsidR="006870EB">
        <w:rPr>
          <w:b/>
        </w:rPr>
        <w:t>Functional S</w:t>
      </w:r>
      <w:r w:rsidR="006B0183" w:rsidRPr="006870EB">
        <w:rPr>
          <w:b/>
        </w:rPr>
        <w:t>kills</w:t>
      </w:r>
      <w:r w:rsidR="008A1C36" w:rsidRPr="006870EB">
        <w:rPr>
          <w:b/>
        </w:rPr>
        <w:t xml:space="preserve"> </w:t>
      </w:r>
      <w:r w:rsidR="008A1C36">
        <w:t>and will help shape how the learner might progress throughout their time at college</w:t>
      </w:r>
      <w:r w:rsidR="006870EB">
        <w:t>, towards their destination outcome and Long Term Goals (LTG)</w:t>
      </w:r>
      <w:r w:rsidR="008A1C36">
        <w:t>;</w:t>
      </w:r>
    </w:p>
    <w:p w14:paraId="74DF0F1B" w14:textId="77777777" w:rsidR="008A1C36" w:rsidRDefault="008A1C36" w:rsidP="00E864FD">
      <w:pPr>
        <w:pStyle w:val="Bullet1"/>
      </w:pPr>
      <w:r w:rsidRPr="00AF23C4">
        <w:rPr>
          <w:b/>
        </w:rPr>
        <w:t>Baseline Assessments</w:t>
      </w:r>
      <w:r>
        <w:t xml:space="preserve"> </w:t>
      </w:r>
      <w:r w:rsidR="00AF23C4">
        <w:t>are</w:t>
      </w:r>
      <w:r w:rsidR="00A63079">
        <w:t xml:space="preserve"> carried out within the first half term, which will </w:t>
      </w:r>
      <w:r>
        <w:t xml:space="preserve">also </w:t>
      </w:r>
      <w:r w:rsidR="00625ADB">
        <w:t xml:space="preserve">help </w:t>
      </w:r>
      <w:r>
        <w:t>identify whether any</w:t>
      </w:r>
      <w:r w:rsidR="00A63079">
        <w:t xml:space="preserve"> specialist assessments (such as</w:t>
      </w:r>
      <w:r>
        <w:t xml:space="preserve"> </w:t>
      </w:r>
      <w:r w:rsidRPr="00A63079">
        <w:t>Functional Sensory Assessments</w:t>
      </w:r>
      <w:r>
        <w:t xml:space="preserve"> (FSA)</w:t>
      </w:r>
      <w:r w:rsidR="00A63079">
        <w:t>)</w:t>
      </w:r>
      <w:r>
        <w:t xml:space="preserve"> are required</w:t>
      </w:r>
      <w:r w:rsidR="00625ADB">
        <w:t xml:space="preserve"> </w:t>
      </w:r>
      <w:r w:rsidR="00A63079">
        <w:t>as well as provide more performance level details</w:t>
      </w:r>
      <w:r>
        <w:t>;</w:t>
      </w:r>
    </w:p>
    <w:p w14:paraId="2C53653D" w14:textId="77777777" w:rsidR="008A1C36" w:rsidRDefault="008A1C36" w:rsidP="00E864FD">
      <w:pPr>
        <w:pStyle w:val="Bullet1"/>
      </w:pPr>
      <w:r>
        <w:t xml:space="preserve"> A </w:t>
      </w:r>
      <w:r w:rsidRPr="008F0756">
        <w:rPr>
          <w:b/>
        </w:rPr>
        <w:t>Communication Profile</w:t>
      </w:r>
      <w:r>
        <w:t xml:space="preserve"> (which may also include a Decision Making Profile) </w:t>
      </w:r>
      <w:r w:rsidR="00A63079">
        <w:t>may</w:t>
      </w:r>
      <w:r>
        <w:t xml:space="preserve"> be produced following a communication</w:t>
      </w:r>
      <w:r w:rsidR="006B0183">
        <w:t>/functional skills</w:t>
      </w:r>
      <w:r>
        <w:t xml:space="preserve"> assessment</w:t>
      </w:r>
      <w:r w:rsidR="00A63079">
        <w:t>, if appropriate</w:t>
      </w:r>
      <w:r>
        <w:t>;</w:t>
      </w:r>
    </w:p>
    <w:p w14:paraId="165F9454" w14:textId="77777777" w:rsidR="000918A5" w:rsidRDefault="000918A5" w:rsidP="00E864FD">
      <w:pPr>
        <w:pStyle w:val="Bullet1"/>
      </w:pPr>
      <w:r>
        <w:t xml:space="preserve">The learner’s Long Term Goals and aspirations for </w:t>
      </w:r>
      <w:r w:rsidRPr="000918A5">
        <w:rPr>
          <w:b/>
        </w:rPr>
        <w:t>Destination Outcomes</w:t>
      </w:r>
      <w:r>
        <w:t>, including Employment or Further Education, Independent Living, Community Inclusion and Health, will be explored and noted;</w:t>
      </w:r>
    </w:p>
    <w:p w14:paraId="6BCA12B6" w14:textId="77777777" w:rsidR="008A1C36" w:rsidRDefault="008A1C36" w:rsidP="00E864FD">
      <w:pPr>
        <w:pStyle w:val="Bullet1"/>
      </w:pPr>
      <w:r>
        <w:lastRenderedPageBreak/>
        <w:t xml:space="preserve">The </w:t>
      </w:r>
      <w:r w:rsidRPr="008F0756">
        <w:rPr>
          <w:b/>
        </w:rPr>
        <w:t>Transition In Checklist</w:t>
      </w:r>
      <w:r>
        <w:t xml:space="preserve"> (</w:t>
      </w:r>
      <w:r w:rsidRPr="00991962">
        <w:rPr>
          <w:b/>
        </w:rPr>
        <w:t xml:space="preserve">Appendix </w:t>
      </w:r>
      <w:r w:rsidR="00A63079">
        <w:rPr>
          <w:b/>
        </w:rPr>
        <w:t>3</w:t>
      </w:r>
      <w:r>
        <w:t>) will be completed in conjunction with the ESM</w:t>
      </w:r>
      <w:r w:rsidR="00E07AB2">
        <w:t xml:space="preserve">, EC and </w:t>
      </w:r>
      <w:r w:rsidR="007E007B">
        <w:t>ETA</w:t>
      </w:r>
      <w:r w:rsidR="003554F3">
        <w:t>.</w:t>
      </w:r>
    </w:p>
    <w:p w14:paraId="423CB2CC" w14:textId="77777777" w:rsidR="003554F3" w:rsidRDefault="003554F3" w:rsidP="003554F3">
      <w:pPr>
        <w:pStyle w:val="Bullet1"/>
        <w:numPr>
          <w:ilvl w:val="0"/>
          <w:numId w:val="0"/>
        </w:numPr>
      </w:pPr>
    </w:p>
    <w:p w14:paraId="2DA41E7E" w14:textId="77777777" w:rsidR="00E864FD" w:rsidRDefault="003554F3" w:rsidP="00E07AB2">
      <w:pPr>
        <w:pStyle w:val="Bullet1"/>
        <w:numPr>
          <w:ilvl w:val="0"/>
          <w:numId w:val="0"/>
        </w:numPr>
      </w:pPr>
      <w:r>
        <w:t xml:space="preserve">After approximately six weeks, the Transition in process will conclude with a </w:t>
      </w:r>
      <w:r w:rsidRPr="008F0756">
        <w:rPr>
          <w:b/>
        </w:rPr>
        <w:t xml:space="preserve">Transition </w:t>
      </w:r>
      <w:r w:rsidR="00172D8B" w:rsidRPr="008F0756">
        <w:rPr>
          <w:b/>
        </w:rPr>
        <w:t xml:space="preserve">Settling In </w:t>
      </w:r>
      <w:r w:rsidRPr="008F0756">
        <w:rPr>
          <w:b/>
        </w:rPr>
        <w:t>Review meeting</w:t>
      </w:r>
      <w:r>
        <w:t xml:space="preserve">.  This meeting is where the learner’s settling in period is discussed and </w:t>
      </w:r>
      <w:r w:rsidR="00E07AB2">
        <w:t xml:space="preserve">the views from both the Learner and Parents, via the </w:t>
      </w:r>
      <w:r w:rsidR="00E07AB2" w:rsidRPr="00E07AB2">
        <w:rPr>
          <w:b/>
        </w:rPr>
        <w:t>Transition In Questionnaires</w:t>
      </w:r>
      <w:r w:rsidR="00E07AB2">
        <w:t xml:space="preserve"> </w:t>
      </w:r>
      <w:r w:rsidR="00E07AB2">
        <w:rPr>
          <w:b/>
        </w:rPr>
        <w:t>(Appendix 4 and 5)</w:t>
      </w:r>
      <w:r w:rsidR="00E07AB2">
        <w:t>, are reviewed and taken into account.  T</w:t>
      </w:r>
      <w:r>
        <w:t xml:space="preserve">he </w:t>
      </w:r>
      <w:r w:rsidR="002110D3">
        <w:t xml:space="preserve">final </w:t>
      </w:r>
      <w:r>
        <w:t xml:space="preserve">study programme, </w:t>
      </w:r>
      <w:r w:rsidR="00D24B29">
        <w:t>Individual Learning Plan (</w:t>
      </w:r>
      <w:r>
        <w:t>ILP</w:t>
      </w:r>
      <w:r w:rsidR="00D24B29">
        <w:t>)</w:t>
      </w:r>
      <w:r>
        <w:t xml:space="preserve"> and proposed timetable will </w:t>
      </w:r>
      <w:r w:rsidR="00E07AB2">
        <w:t xml:space="preserve">also </w:t>
      </w:r>
      <w:r>
        <w:t>be presented for agreement</w:t>
      </w:r>
      <w:r w:rsidR="006870EB">
        <w:t xml:space="preserve"> by the learner and those involved in supporting the learner through their journey, i.e. parents, family, advocate, other professionals, etc</w:t>
      </w:r>
      <w:r>
        <w:t xml:space="preserve">.  </w:t>
      </w:r>
    </w:p>
    <w:p w14:paraId="0C328E36" w14:textId="77777777" w:rsidR="000918A5" w:rsidRDefault="000918A5" w:rsidP="005339CC">
      <w:pPr>
        <w:pStyle w:val="BodyText"/>
      </w:pPr>
    </w:p>
    <w:p w14:paraId="0A865735" w14:textId="77777777" w:rsidR="0093167D" w:rsidRDefault="0093167D" w:rsidP="005339CC">
      <w:pPr>
        <w:pStyle w:val="BodyText"/>
      </w:pPr>
    </w:p>
    <w:p w14:paraId="5ECC3876" w14:textId="77777777" w:rsidR="008E05BD" w:rsidRPr="00D23696" w:rsidRDefault="00722664" w:rsidP="00D23696">
      <w:pPr>
        <w:pStyle w:val="Heading2"/>
        <w:spacing w:before="0" w:after="0" w:line="360" w:lineRule="auto"/>
        <w:rPr>
          <w:rStyle w:val="BoldOrangeChar"/>
          <w:rFonts w:asciiTheme="majorHAnsi" w:eastAsiaTheme="minorHAnsi" w:hAnsiTheme="majorHAnsi" w:cs="Arial"/>
          <w:color w:val="653279" w:themeColor="accent1"/>
          <w:szCs w:val="24"/>
          <w:lang w:val="en-GB" w:eastAsia="en-US"/>
        </w:rPr>
      </w:pPr>
      <w:r>
        <w:rPr>
          <w:b/>
        </w:rPr>
        <w:t>Part Two</w:t>
      </w:r>
      <w:r w:rsidRPr="00F73B94">
        <w:rPr>
          <w:b/>
        </w:rPr>
        <w:t xml:space="preserve">: </w:t>
      </w:r>
      <w:r w:rsidR="005C3CCA">
        <w:rPr>
          <w:rStyle w:val="BoldOrangeChar"/>
          <w:lang w:val="en-GB"/>
        </w:rPr>
        <w:t xml:space="preserve">Year to Year </w:t>
      </w:r>
      <w:r w:rsidR="00743A06">
        <w:rPr>
          <w:rStyle w:val="BoldOrangeChar"/>
          <w:lang w:val="en-GB"/>
        </w:rPr>
        <w:t>T</w:t>
      </w:r>
      <w:r w:rsidR="005C3CCA">
        <w:rPr>
          <w:rStyle w:val="BoldOrangeChar"/>
          <w:lang w:val="en-GB"/>
        </w:rPr>
        <w:t>ransitions</w:t>
      </w:r>
    </w:p>
    <w:p w14:paraId="5B9EE726" w14:textId="77777777" w:rsidR="00356AC8" w:rsidRDefault="00356AC8" w:rsidP="00B81460">
      <w:pPr>
        <w:pStyle w:val="IndentedText"/>
        <w:spacing w:after="0" w:line="360" w:lineRule="auto"/>
        <w:jc w:val="both"/>
        <w:rPr>
          <w:lang w:val="en-GB"/>
        </w:rPr>
      </w:pPr>
    </w:p>
    <w:p w14:paraId="7A16864D" w14:textId="77777777" w:rsidR="00BB073C" w:rsidRDefault="00BF0EBC" w:rsidP="00B81460">
      <w:pPr>
        <w:rPr>
          <w:szCs w:val="24"/>
        </w:rPr>
      </w:pPr>
      <w:r>
        <w:rPr>
          <w:szCs w:val="24"/>
        </w:rPr>
        <w:t xml:space="preserve">Whilst at college, each learner is assigned a </w:t>
      </w:r>
      <w:r w:rsidRPr="008F0756">
        <w:rPr>
          <w:b/>
          <w:szCs w:val="24"/>
        </w:rPr>
        <w:t>Personal Tutor</w:t>
      </w:r>
      <w:r>
        <w:rPr>
          <w:szCs w:val="24"/>
        </w:rPr>
        <w:t xml:space="preserve"> (who may also be called an Education Coordinator (EC)).  The Personal Tutor will, in conjunction with the learner themselves, be responsible for the progress made at college towards </w:t>
      </w:r>
      <w:r w:rsidR="006870EB">
        <w:rPr>
          <w:szCs w:val="24"/>
        </w:rPr>
        <w:t xml:space="preserve">the agreed educational outcomes, </w:t>
      </w:r>
      <w:r>
        <w:rPr>
          <w:szCs w:val="24"/>
        </w:rPr>
        <w:t>Medium Term Goals</w:t>
      </w:r>
      <w:r w:rsidR="006870EB">
        <w:rPr>
          <w:szCs w:val="24"/>
        </w:rPr>
        <w:t xml:space="preserve"> (MTGs) and Destination Outcomes/LTGs</w:t>
      </w:r>
      <w:r w:rsidR="00BB073C">
        <w:rPr>
          <w:szCs w:val="24"/>
        </w:rPr>
        <w:t>.</w:t>
      </w:r>
      <w:r>
        <w:rPr>
          <w:szCs w:val="24"/>
        </w:rPr>
        <w:t xml:space="preserve">  </w:t>
      </w:r>
    </w:p>
    <w:p w14:paraId="4D2B2E95" w14:textId="77777777" w:rsidR="00BB073C" w:rsidRDefault="00BB073C" w:rsidP="00B81460">
      <w:pPr>
        <w:rPr>
          <w:szCs w:val="24"/>
        </w:rPr>
      </w:pPr>
    </w:p>
    <w:p w14:paraId="0CA6F8A7" w14:textId="77777777" w:rsidR="00921DA4" w:rsidRDefault="00172D8B" w:rsidP="00B81460">
      <w:pPr>
        <w:rPr>
          <w:szCs w:val="24"/>
        </w:rPr>
      </w:pPr>
      <w:r w:rsidRPr="008F0756">
        <w:rPr>
          <w:b/>
          <w:szCs w:val="24"/>
        </w:rPr>
        <w:t>Termly meetings</w:t>
      </w:r>
      <w:r>
        <w:rPr>
          <w:szCs w:val="24"/>
        </w:rPr>
        <w:t xml:space="preserve"> are organised and held between learners, parents and the Personal Tutor, to provide opportunities to provide regular progress updates and encourage everyone to engage and input into the learner’s journey.  The </w:t>
      </w:r>
      <w:r w:rsidR="007E007B">
        <w:rPr>
          <w:szCs w:val="24"/>
        </w:rPr>
        <w:t>ETA</w:t>
      </w:r>
      <w:r>
        <w:rPr>
          <w:szCs w:val="24"/>
        </w:rPr>
        <w:t xml:space="preserve"> may also be present at this meeting.  </w:t>
      </w:r>
    </w:p>
    <w:p w14:paraId="7C9DCF11" w14:textId="77777777" w:rsidR="00921DA4" w:rsidRDefault="00921DA4" w:rsidP="00B81460">
      <w:pPr>
        <w:rPr>
          <w:szCs w:val="24"/>
        </w:rPr>
      </w:pPr>
    </w:p>
    <w:p w14:paraId="4D1DCC6A" w14:textId="77777777" w:rsidR="00BB073C" w:rsidRDefault="00172D8B" w:rsidP="00B81460">
      <w:pPr>
        <w:rPr>
          <w:szCs w:val="24"/>
        </w:rPr>
      </w:pPr>
      <w:r>
        <w:rPr>
          <w:szCs w:val="24"/>
        </w:rPr>
        <w:t xml:space="preserve">Termly meetings may also be used to raise any concerns.  </w:t>
      </w:r>
      <w:r w:rsidR="00921DA4">
        <w:rPr>
          <w:szCs w:val="24"/>
        </w:rPr>
        <w:t>The ‘What’s Working/Not Working’ document</w:t>
      </w:r>
      <w:r w:rsidR="002110D3">
        <w:rPr>
          <w:szCs w:val="24"/>
        </w:rPr>
        <w:t xml:space="preserve"> from the review toolkit</w:t>
      </w:r>
      <w:r w:rsidR="00921DA4">
        <w:rPr>
          <w:szCs w:val="24"/>
        </w:rPr>
        <w:t xml:space="preserve"> may be used in this meeting to discuss any changes that need to be made in order to ensure a learner continues to make good progress.</w:t>
      </w:r>
    </w:p>
    <w:p w14:paraId="0B37E77C" w14:textId="77777777" w:rsidR="008F0756" w:rsidRDefault="008F0756" w:rsidP="00B81460">
      <w:pPr>
        <w:rPr>
          <w:szCs w:val="24"/>
        </w:rPr>
      </w:pPr>
    </w:p>
    <w:p w14:paraId="7AB845E0" w14:textId="77777777" w:rsidR="006D0F5A" w:rsidRDefault="008F0756" w:rsidP="00B81460">
      <w:pPr>
        <w:rPr>
          <w:szCs w:val="24"/>
        </w:rPr>
      </w:pPr>
      <w:r>
        <w:rPr>
          <w:szCs w:val="24"/>
        </w:rPr>
        <w:t xml:space="preserve">An </w:t>
      </w:r>
      <w:r w:rsidR="006D0F5A" w:rsidRPr="006D0F5A">
        <w:rPr>
          <w:b/>
          <w:szCs w:val="24"/>
        </w:rPr>
        <w:t>EHCP</w:t>
      </w:r>
      <w:r w:rsidR="00D24B29">
        <w:rPr>
          <w:szCs w:val="24"/>
        </w:rPr>
        <w:t xml:space="preserve"> </w:t>
      </w:r>
      <w:r w:rsidR="00D24B29" w:rsidRPr="00D24B29">
        <w:rPr>
          <w:b/>
          <w:szCs w:val="24"/>
        </w:rPr>
        <w:t>Annual</w:t>
      </w:r>
      <w:r w:rsidR="00D24B29">
        <w:rPr>
          <w:szCs w:val="24"/>
        </w:rPr>
        <w:t xml:space="preserve"> </w:t>
      </w:r>
      <w:r w:rsidRPr="008F0756">
        <w:rPr>
          <w:b/>
          <w:szCs w:val="24"/>
        </w:rPr>
        <w:t>Review</w:t>
      </w:r>
      <w:r>
        <w:rPr>
          <w:szCs w:val="24"/>
        </w:rPr>
        <w:t xml:space="preserve"> of a learner’s progress within their study programme will take place every 12 months</w:t>
      </w:r>
      <w:r w:rsidR="006D0F5A">
        <w:rPr>
          <w:szCs w:val="24"/>
        </w:rPr>
        <w:t xml:space="preserve">, usually around </w:t>
      </w:r>
      <w:r w:rsidR="002110D3">
        <w:rPr>
          <w:szCs w:val="24"/>
        </w:rPr>
        <w:t>March/April</w:t>
      </w:r>
      <w:r>
        <w:rPr>
          <w:szCs w:val="24"/>
        </w:rPr>
        <w:t>.</w:t>
      </w:r>
      <w:r w:rsidR="00DB5AD3">
        <w:rPr>
          <w:szCs w:val="24"/>
        </w:rPr>
        <w:t xml:space="preserve">  In preparation for their </w:t>
      </w:r>
      <w:r w:rsidR="006D0F5A">
        <w:rPr>
          <w:szCs w:val="24"/>
        </w:rPr>
        <w:t>EHCP</w:t>
      </w:r>
      <w:r w:rsidR="00DB5AD3">
        <w:rPr>
          <w:szCs w:val="24"/>
        </w:rPr>
        <w:t xml:space="preserve"> Review, the learner and their Personal Tutor, </w:t>
      </w:r>
      <w:r w:rsidR="007E007B">
        <w:rPr>
          <w:szCs w:val="24"/>
        </w:rPr>
        <w:t>ETA</w:t>
      </w:r>
      <w:r w:rsidR="00DB5AD3">
        <w:rPr>
          <w:szCs w:val="24"/>
        </w:rPr>
        <w:t xml:space="preserve"> and the learner’s family </w:t>
      </w:r>
      <w:r w:rsidR="002110D3">
        <w:rPr>
          <w:szCs w:val="24"/>
        </w:rPr>
        <w:t>may</w:t>
      </w:r>
      <w:r w:rsidR="00DB5AD3">
        <w:rPr>
          <w:szCs w:val="24"/>
        </w:rPr>
        <w:t xml:space="preserve"> meet to discuss the </w:t>
      </w:r>
      <w:r w:rsidR="00DB5AD3">
        <w:rPr>
          <w:szCs w:val="24"/>
        </w:rPr>
        <w:lastRenderedPageBreak/>
        <w:t xml:space="preserve">learner’s progress to date (based on the study programme and the outcomes set out in the learner’s EHCP) and their transition into the next year (where appropriate).  </w:t>
      </w:r>
    </w:p>
    <w:p w14:paraId="0A5DADAC" w14:textId="77777777" w:rsidR="006D0F5A" w:rsidRDefault="006D0F5A" w:rsidP="00B81460">
      <w:pPr>
        <w:rPr>
          <w:szCs w:val="24"/>
        </w:rPr>
      </w:pPr>
    </w:p>
    <w:p w14:paraId="46DC465F" w14:textId="77777777" w:rsidR="006D0F5A" w:rsidRDefault="006D0F5A" w:rsidP="00B81460">
      <w:pPr>
        <w:rPr>
          <w:szCs w:val="24"/>
        </w:rPr>
      </w:pPr>
      <w:r>
        <w:rPr>
          <w:szCs w:val="24"/>
        </w:rPr>
        <w:t>This meeting is a chance to highlight what a learner has done well, what progress is being made and whether their learning needs are being met.  The meeting may include some or all of the following documents alongside a learner’s ECHP:</w:t>
      </w:r>
    </w:p>
    <w:p w14:paraId="0B848EC5" w14:textId="77777777" w:rsidR="00EA6F8A" w:rsidRDefault="00EA6F8A" w:rsidP="00B81460">
      <w:pPr>
        <w:rPr>
          <w:szCs w:val="24"/>
        </w:rPr>
      </w:pPr>
    </w:p>
    <w:p w14:paraId="7765D063" w14:textId="77777777" w:rsidR="00EA6F8A" w:rsidRDefault="006D0F5A" w:rsidP="00EA6F8A">
      <w:pPr>
        <w:pStyle w:val="Bullet1"/>
      </w:pPr>
      <w:r>
        <w:t>Person-Centred Transition Profile, Checklist and Planning Documents;</w:t>
      </w:r>
    </w:p>
    <w:p w14:paraId="17F86858" w14:textId="77777777" w:rsidR="00EA6F8A" w:rsidRDefault="006D0F5A" w:rsidP="00EA6F8A">
      <w:pPr>
        <w:pStyle w:val="Bullet1"/>
      </w:pPr>
      <w:r>
        <w:t xml:space="preserve">What’s Working / Not Working </w:t>
      </w:r>
      <w:r w:rsidR="002110D3">
        <w:t>document</w:t>
      </w:r>
      <w:r>
        <w:t>;</w:t>
      </w:r>
    </w:p>
    <w:p w14:paraId="2FC7AD8B" w14:textId="77777777" w:rsidR="006D0F5A" w:rsidRDefault="006D0F5A" w:rsidP="00EA6F8A">
      <w:pPr>
        <w:pStyle w:val="Bullet1"/>
      </w:pPr>
      <w:r>
        <w:t xml:space="preserve">Items from the </w:t>
      </w:r>
      <w:r w:rsidR="002110D3">
        <w:t>Person Centred Planning (PCP) toolkit</w:t>
      </w:r>
      <w:r>
        <w:t xml:space="preserve"> and the Transitions In documentation;</w:t>
      </w:r>
    </w:p>
    <w:p w14:paraId="1A598278" w14:textId="77777777" w:rsidR="006D0F5A" w:rsidRDefault="006D0F5A" w:rsidP="00EA6F8A">
      <w:pPr>
        <w:pStyle w:val="Bullet1"/>
      </w:pPr>
      <w:r>
        <w:t>Learner Journey and Progress reports of Targets, Objectives and Records of Incidental Learning (ROILs)</w:t>
      </w:r>
      <w:r w:rsidR="00CC458D">
        <w:t>, as well as progress towards the Destination Outcome/LTG</w:t>
      </w:r>
      <w:r>
        <w:t>;</w:t>
      </w:r>
    </w:p>
    <w:p w14:paraId="76EEE851" w14:textId="77777777" w:rsidR="006D0F5A" w:rsidRDefault="006D0F5A" w:rsidP="006D0F5A">
      <w:pPr>
        <w:pStyle w:val="Bullet1"/>
        <w:numPr>
          <w:ilvl w:val="0"/>
          <w:numId w:val="0"/>
        </w:numPr>
      </w:pPr>
    </w:p>
    <w:p w14:paraId="46536A81" w14:textId="77777777" w:rsidR="006D0F5A" w:rsidRDefault="006D0F5A" w:rsidP="006D0F5A">
      <w:pPr>
        <w:pStyle w:val="Bullet1"/>
        <w:numPr>
          <w:ilvl w:val="0"/>
          <w:numId w:val="0"/>
        </w:numPr>
      </w:pPr>
      <w:r>
        <w:t>Any documents created or updated as part of this meeting will be used to inform the EHCP and/or Annual Review.</w:t>
      </w:r>
    </w:p>
    <w:p w14:paraId="0929B31B" w14:textId="77777777" w:rsidR="00EC62F3" w:rsidRDefault="00EC62F3" w:rsidP="00B81460">
      <w:pPr>
        <w:rPr>
          <w:szCs w:val="24"/>
        </w:rPr>
      </w:pPr>
    </w:p>
    <w:p w14:paraId="1FC8B6ED" w14:textId="77777777" w:rsidR="00DB2842" w:rsidRDefault="006D0F5A" w:rsidP="00B81460">
      <w:pPr>
        <w:rPr>
          <w:szCs w:val="24"/>
        </w:rPr>
      </w:pPr>
      <w:r>
        <w:rPr>
          <w:szCs w:val="24"/>
        </w:rPr>
        <w:t>EHCPs are to be reviewed no later than every twelve months; this is a legal requ</w:t>
      </w:r>
      <w:r w:rsidR="00EC62F3">
        <w:rPr>
          <w:szCs w:val="24"/>
        </w:rPr>
        <w:t xml:space="preserve">irement.  </w:t>
      </w:r>
    </w:p>
    <w:p w14:paraId="721E6AB3" w14:textId="77777777" w:rsidR="00D24B29" w:rsidRDefault="00D24B29" w:rsidP="00B81460">
      <w:pPr>
        <w:rPr>
          <w:szCs w:val="24"/>
        </w:rPr>
      </w:pPr>
    </w:p>
    <w:p w14:paraId="13F0559B" w14:textId="77777777" w:rsidR="00D24B29" w:rsidRDefault="00E07AB2" w:rsidP="00B81460">
      <w:pPr>
        <w:rPr>
          <w:szCs w:val="24"/>
        </w:rPr>
      </w:pPr>
      <w:r>
        <w:rPr>
          <w:szCs w:val="24"/>
        </w:rPr>
        <w:t xml:space="preserve">Termly </w:t>
      </w:r>
      <w:r w:rsidR="00D24B29">
        <w:rPr>
          <w:szCs w:val="24"/>
        </w:rPr>
        <w:t>review report</w:t>
      </w:r>
      <w:r>
        <w:rPr>
          <w:szCs w:val="24"/>
        </w:rPr>
        <w:t>s</w:t>
      </w:r>
      <w:r w:rsidR="00D24B29">
        <w:rPr>
          <w:szCs w:val="24"/>
        </w:rPr>
        <w:t xml:space="preserve"> will be produced and shared with the relevant people before a learner’s EHCP Annual Review meeting.  At the meeting, the learner and their circle of support will review progress against the EHCP outcomes and update the EHCP with new outcomes where appropriate.  Any changes must then be agreed to by the relevant Local Authority.  A new (draft) study programme / ILP for the next academic year will also be proposed.</w:t>
      </w:r>
    </w:p>
    <w:p w14:paraId="0610E976" w14:textId="77777777" w:rsidR="00E07AB2" w:rsidRDefault="00E07AB2" w:rsidP="00E07AB2">
      <w:pPr>
        <w:rPr>
          <w:szCs w:val="24"/>
        </w:rPr>
      </w:pPr>
    </w:p>
    <w:p w14:paraId="51D918A7" w14:textId="77777777" w:rsidR="00E07AB2" w:rsidRDefault="00E07AB2" w:rsidP="00E07AB2">
      <w:pPr>
        <w:rPr>
          <w:szCs w:val="24"/>
        </w:rPr>
      </w:pPr>
      <w:r>
        <w:rPr>
          <w:szCs w:val="24"/>
        </w:rPr>
        <w:t xml:space="preserve">For those learners in their final year of Education within the college, their EHCP Review should be completed no later than March, but ideally at the beginning of the Spring Term, to allow time for funding to be agreed for any new placement.  This also applies where a learner wishes to transition to the college’s adult social care </w:t>
      </w:r>
      <w:r>
        <w:rPr>
          <w:b/>
          <w:szCs w:val="24"/>
        </w:rPr>
        <w:t>Everyday Living Programme</w:t>
      </w:r>
      <w:r>
        <w:rPr>
          <w:szCs w:val="24"/>
        </w:rPr>
        <w:t xml:space="preserve">, as it is funded differently to the </w:t>
      </w:r>
      <w:r w:rsidRPr="00D24B29">
        <w:rPr>
          <w:b/>
          <w:szCs w:val="24"/>
        </w:rPr>
        <w:t>Education Programme</w:t>
      </w:r>
      <w:r>
        <w:rPr>
          <w:szCs w:val="24"/>
        </w:rPr>
        <w:t xml:space="preserve">.  These reviews are </w:t>
      </w:r>
      <w:r>
        <w:rPr>
          <w:szCs w:val="24"/>
        </w:rPr>
        <w:lastRenderedPageBreak/>
        <w:t>conducted in a person-centred style to ensure that the learner is at the centre of all decisions made.</w:t>
      </w:r>
    </w:p>
    <w:p w14:paraId="10938EC5" w14:textId="77777777" w:rsidR="00164CD2" w:rsidRDefault="00164CD2" w:rsidP="00B81460">
      <w:pPr>
        <w:rPr>
          <w:szCs w:val="24"/>
        </w:rPr>
      </w:pPr>
    </w:p>
    <w:p w14:paraId="07D8D5B7" w14:textId="77777777" w:rsidR="00164CD2" w:rsidRPr="00164CD2" w:rsidRDefault="00164CD2" w:rsidP="00B81460">
      <w:pPr>
        <w:rPr>
          <w:szCs w:val="24"/>
        </w:rPr>
      </w:pPr>
      <w:r>
        <w:rPr>
          <w:szCs w:val="24"/>
        </w:rPr>
        <w:t xml:space="preserve">An </w:t>
      </w:r>
      <w:r>
        <w:rPr>
          <w:b/>
          <w:szCs w:val="24"/>
        </w:rPr>
        <w:t>End of Year</w:t>
      </w:r>
      <w:r>
        <w:rPr>
          <w:szCs w:val="24"/>
        </w:rPr>
        <w:t xml:space="preserve"> review meeting is also held in conjunction with the Summer Term parents meeting</w:t>
      </w:r>
      <w:r w:rsidR="002110D3">
        <w:rPr>
          <w:szCs w:val="24"/>
        </w:rPr>
        <w:t xml:space="preserve"> (July)</w:t>
      </w:r>
      <w:r>
        <w:rPr>
          <w:szCs w:val="24"/>
        </w:rPr>
        <w:t>.  This meeting allows for sharing of progress and achievements of the learner throughout the year and conclude the years’ study programme</w:t>
      </w:r>
      <w:r w:rsidR="00E07AB2">
        <w:rPr>
          <w:szCs w:val="24"/>
        </w:rPr>
        <w:t>, including an end of year report</w:t>
      </w:r>
      <w:r>
        <w:rPr>
          <w:szCs w:val="24"/>
        </w:rPr>
        <w:t>.  As with other meetings, this End of Year review is done in an informal, person-centred way</w:t>
      </w:r>
      <w:r w:rsidR="0074049B">
        <w:rPr>
          <w:szCs w:val="24"/>
        </w:rPr>
        <w:t>;</w:t>
      </w:r>
      <w:r>
        <w:rPr>
          <w:szCs w:val="24"/>
        </w:rPr>
        <w:t xml:space="preserve"> with the learner, family, Personal Tutor, </w:t>
      </w:r>
      <w:r w:rsidR="007E007B">
        <w:rPr>
          <w:szCs w:val="24"/>
        </w:rPr>
        <w:t>ETA</w:t>
      </w:r>
      <w:r>
        <w:rPr>
          <w:szCs w:val="24"/>
        </w:rPr>
        <w:t xml:space="preserve"> and any other </w:t>
      </w:r>
      <w:r w:rsidR="0074049B">
        <w:rPr>
          <w:szCs w:val="24"/>
        </w:rPr>
        <w:t>advocate/party in attendance</w:t>
      </w:r>
      <w:r w:rsidR="002110D3">
        <w:rPr>
          <w:szCs w:val="24"/>
        </w:rPr>
        <w:t xml:space="preserve"> where appropriate and</w:t>
      </w:r>
      <w:r w:rsidR="0074049B" w:rsidRPr="0074049B">
        <w:rPr>
          <w:szCs w:val="24"/>
        </w:rPr>
        <w:t xml:space="preserve"> </w:t>
      </w:r>
      <w:r w:rsidR="0074049B">
        <w:rPr>
          <w:szCs w:val="24"/>
        </w:rPr>
        <w:t xml:space="preserve">as requested by the learner.  </w:t>
      </w:r>
    </w:p>
    <w:p w14:paraId="248B7F29" w14:textId="77777777" w:rsidR="00EC62F3" w:rsidRDefault="00EC62F3" w:rsidP="00B81460">
      <w:pPr>
        <w:rPr>
          <w:szCs w:val="24"/>
        </w:rPr>
      </w:pPr>
    </w:p>
    <w:p w14:paraId="169A0BC8" w14:textId="77777777" w:rsidR="00EC62F3" w:rsidRDefault="00E07AB2" w:rsidP="00B81460">
      <w:pPr>
        <w:rPr>
          <w:szCs w:val="24"/>
        </w:rPr>
      </w:pPr>
      <w:r>
        <w:rPr>
          <w:szCs w:val="24"/>
        </w:rPr>
        <w:t>Additional r</w:t>
      </w:r>
      <w:r w:rsidR="0074049B">
        <w:rPr>
          <w:szCs w:val="24"/>
        </w:rPr>
        <w:t>eviews and meetings may</w:t>
      </w:r>
      <w:r>
        <w:rPr>
          <w:szCs w:val="24"/>
        </w:rPr>
        <w:t xml:space="preserve"> also</w:t>
      </w:r>
      <w:r w:rsidR="0074049B">
        <w:rPr>
          <w:szCs w:val="24"/>
        </w:rPr>
        <w:t xml:space="preserve"> be requested at any time by the learner, a learner’s family, College staff and/or Local Authority staff (e.g. Social Worker).</w:t>
      </w:r>
    </w:p>
    <w:p w14:paraId="2EC2C0DD" w14:textId="77777777" w:rsidR="002110D3" w:rsidRDefault="002110D3" w:rsidP="00B81460">
      <w:pPr>
        <w:rPr>
          <w:szCs w:val="24"/>
        </w:rPr>
      </w:pPr>
    </w:p>
    <w:p w14:paraId="006DA386" w14:textId="77777777" w:rsidR="002110D3" w:rsidRDefault="002110D3" w:rsidP="00B81460">
      <w:pPr>
        <w:rPr>
          <w:szCs w:val="24"/>
        </w:rPr>
      </w:pPr>
    </w:p>
    <w:p w14:paraId="0926F8DD" w14:textId="77777777" w:rsidR="008E05BD" w:rsidRPr="00D23696" w:rsidRDefault="00722664" w:rsidP="00D23696">
      <w:pPr>
        <w:pStyle w:val="Heading2"/>
        <w:spacing w:before="0" w:after="0" w:line="360" w:lineRule="auto"/>
        <w:rPr>
          <w:rStyle w:val="BoldOrangeChar"/>
          <w:rFonts w:asciiTheme="majorHAnsi" w:eastAsiaTheme="minorHAnsi" w:hAnsiTheme="majorHAnsi" w:cs="Arial"/>
          <w:color w:val="653279" w:themeColor="accent1"/>
          <w:szCs w:val="24"/>
          <w:lang w:val="en-GB" w:eastAsia="en-US"/>
        </w:rPr>
      </w:pPr>
      <w:r>
        <w:rPr>
          <w:b/>
        </w:rPr>
        <w:t>Part Three</w:t>
      </w:r>
      <w:r w:rsidRPr="00F73B94">
        <w:rPr>
          <w:b/>
        </w:rPr>
        <w:t xml:space="preserve">: </w:t>
      </w:r>
      <w:r w:rsidR="005C3CCA">
        <w:rPr>
          <w:rStyle w:val="BoldOrangeChar"/>
          <w:lang w:val="en-GB"/>
        </w:rPr>
        <w:t xml:space="preserve">Transitioning </w:t>
      </w:r>
      <w:r w:rsidR="00A7749E">
        <w:rPr>
          <w:rStyle w:val="BoldOrangeChar"/>
          <w:lang w:val="en-GB"/>
        </w:rPr>
        <w:t>O</w:t>
      </w:r>
      <w:r w:rsidR="005C3CCA">
        <w:rPr>
          <w:rStyle w:val="BoldOrangeChar"/>
          <w:lang w:val="en-GB"/>
        </w:rPr>
        <w:t>ut of College</w:t>
      </w:r>
    </w:p>
    <w:p w14:paraId="3725FE12" w14:textId="77777777" w:rsidR="000E49A3" w:rsidRDefault="000E49A3" w:rsidP="004C4996">
      <w:pPr>
        <w:pStyle w:val="IndentedText"/>
        <w:tabs>
          <w:tab w:val="clear" w:pos="1418"/>
        </w:tabs>
        <w:spacing w:after="0" w:line="360" w:lineRule="auto"/>
        <w:ind w:left="0" w:firstLine="0"/>
        <w:rPr>
          <w:u w:val="single"/>
          <w:lang w:val="en-GB"/>
        </w:rPr>
      </w:pPr>
    </w:p>
    <w:p w14:paraId="4790B7F7" w14:textId="77777777" w:rsidR="00694F53" w:rsidRDefault="00D107DA" w:rsidP="00B81460">
      <w:pPr>
        <w:rPr>
          <w:szCs w:val="24"/>
        </w:rPr>
      </w:pPr>
      <w:r>
        <w:rPr>
          <w:szCs w:val="24"/>
        </w:rPr>
        <w:t xml:space="preserve">At the start of the learner’s final year, the learner will work with their Personal tutor and centre ESM to begin work on the </w:t>
      </w:r>
      <w:r w:rsidR="00CC458D">
        <w:rPr>
          <w:szCs w:val="24"/>
        </w:rPr>
        <w:t>‘</w:t>
      </w:r>
      <w:r w:rsidRPr="00D107DA">
        <w:rPr>
          <w:b/>
          <w:szCs w:val="24"/>
        </w:rPr>
        <w:t>Transition Out</w:t>
      </w:r>
      <w:r w:rsidR="00CC458D">
        <w:rPr>
          <w:b/>
          <w:szCs w:val="24"/>
        </w:rPr>
        <w:t>’</w:t>
      </w:r>
      <w:r w:rsidRPr="00D107DA">
        <w:rPr>
          <w:b/>
          <w:szCs w:val="24"/>
        </w:rPr>
        <w:t xml:space="preserve"> Plan</w:t>
      </w:r>
      <w:r w:rsidR="00DA2F7C">
        <w:rPr>
          <w:b/>
          <w:szCs w:val="24"/>
        </w:rPr>
        <w:t xml:space="preserve"> </w:t>
      </w:r>
      <w:r w:rsidR="00DA2F7C">
        <w:rPr>
          <w:szCs w:val="24"/>
        </w:rPr>
        <w:t>(</w:t>
      </w:r>
      <w:r w:rsidR="00DA2F7C" w:rsidRPr="0093167D">
        <w:rPr>
          <w:b/>
          <w:szCs w:val="24"/>
        </w:rPr>
        <w:t xml:space="preserve">Appendix </w:t>
      </w:r>
      <w:r w:rsidR="00E07AB2">
        <w:rPr>
          <w:b/>
          <w:szCs w:val="24"/>
        </w:rPr>
        <w:t>6</w:t>
      </w:r>
      <w:r w:rsidR="00694F53">
        <w:rPr>
          <w:szCs w:val="24"/>
        </w:rPr>
        <w:t>)</w:t>
      </w:r>
      <w:r>
        <w:rPr>
          <w:szCs w:val="24"/>
        </w:rPr>
        <w:t xml:space="preserve">.  The </w:t>
      </w:r>
      <w:r w:rsidR="007E007B">
        <w:rPr>
          <w:szCs w:val="24"/>
        </w:rPr>
        <w:t>ETA</w:t>
      </w:r>
      <w:r>
        <w:rPr>
          <w:szCs w:val="24"/>
        </w:rPr>
        <w:t xml:space="preserve"> will also be updated and involved in this process.</w:t>
      </w:r>
      <w:r w:rsidR="00DA2F7C">
        <w:rPr>
          <w:szCs w:val="24"/>
        </w:rPr>
        <w:t xml:space="preserve">  </w:t>
      </w:r>
    </w:p>
    <w:p w14:paraId="15EE628A" w14:textId="77777777" w:rsidR="00694F53" w:rsidRDefault="00694F53" w:rsidP="00B81460">
      <w:pPr>
        <w:rPr>
          <w:szCs w:val="24"/>
        </w:rPr>
      </w:pPr>
    </w:p>
    <w:p w14:paraId="7546F982" w14:textId="77777777" w:rsidR="00DB2842" w:rsidRDefault="00DA2F7C" w:rsidP="00B81460">
      <w:pPr>
        <w:rPr>
          <w:szCs w:val="24"/>
        </w:rPr>
      </w:pPr>
      <w:r>
        <w:rPr>
          <w:szCs w:val="24"/>
        </w:rPr>
        <w:t xml:space="preserve">Where possible, a learner’s </w:t>
      </w:r>
      <w:r w:rsidR="00CC458D">
        <w:rPr>
          <w:szCs w:val="24"/>
        </w:rPr>
        <w:t>‘</w:t>
      </w:r>
      <w:r>
        <w:rPr>
          <w:szCs w:val="24"/>
        </w:rPr>
        <w:t>Transition Out</w:t>
      </w:r>
      <w:r w:rsidR="00CC458D">
        <w:rPr>
          <w:szCs w:val="24"/>
        </w:rPr>
        <w:t>’</w:t>
      </w:r>
      <w:r>
        <w:rPr>
          <w:szCs w:val="24"/>
        </w:rPr>
        <w:t xml:space="preserve"> Plan </w:t>
      </w:r>
      <w:r w:rsidR="00694F53">
        <w:rPr>
          <w:szCs w:val="24"/>
        </w:rPr>
        <w:t xml:space="preserve">must be completed six months before (or as soon as possible if less than six months remain) the final Review Meeting.  This plan will be updated and contributed to by the learner, college staff including the </w:t>
      </w:r>
      <w:r w:rsidR="007E007B">
        <w:rPr>
          <w:szCs w:val="24"/>
        </w:rPr>
        <w:t>ETA</w:t>
      </w:r>
      <w:r w:rsidR="00694F53">
        <w:rPr>
          <w:szCs w:val="24"/>
        </w:rPr>
        <w:t>, the learner’s family and others as appropriate.</w:t>
      </w:r>
    </w:p>
    <w:p w14:paraId="3EDEE4F7" w14:textId="77777777" w:rsidR="00694F53" w:rsidRDefault="00694F53" w:rsidP="00B81460">
      <w:pPr>
        <w:rPr>
          <w:szCs w:val="24"/>
        </w:rPr>
      </w:pPr>
    </w:p>
    <w:p w14:paraId="0802B193" w14:textId="77777777" w:rsidR="00694F53" w:rsidRDefault="00694F53" w:rsidP="00B81460">
      <w:pPr>
        <w:rPr>
          <w:szCs w:val="24"/>
        </w:rPr>
      </w:pPr>
      <w:r>
        <w:rPr>
          <w:szCs w:val="24"/>
        </w:rPr>
        <w:t>A learner’s final EHCP meeting must be completed in good time to secure funding for any placement going forward, ideally by March of their final year.  Where a learner is transitioning onto an alternative post-18 Educational placement, the new placement must be named in the learner’s EHCP by March.  These meetings are usually to:</w:t>
      </w:r>
    </w:p>
    <w:p w14:paraId="6A62FFB5" w14:textId="77777777" w:rsidR="000E49A3" w:rsidRDefault="000E49A3" w:rsidP="00B81460">
      <w:pPr>
        <w:rPr>
          <w:szCs w:val="24"/>
        </w:rPr>
      </w:pPr>
    </w:p>
    <w:p w14:paraId="72F8C281" w14:textId="77777777" w:rsidR="000E49A3" w:rsidRDefault="00694F53" w:rsidP="000E49A3">
      <w:pPr>
        <w:pStyle w:val="Bullet1"/>
      </w:pPr>
      <w:r>
        <w:t>Request an additional year of Education Funding;</w:t>
      </w:r>
    </w:p>
    <w:p w14:paraId="4C4AC374" w14:textId="77777777" w:rsidR="000E49A3" w:rsidRDefault="00694F53" w:rsidP="000E49A3">
      <w:pPr>
        <w:pStyle w:val="Bullet1"/>
      </w:pPr>
      <w:r>
        <w:t>Request funding for a learner to move onto the college’s adult social care Everyday Living Programme;</w:t>
      </w:r>
    </w:p>
    <w:p w14:paraId="6B3904E4" w14:textId="77777777" w:rsidR="00694F53" w:rsidRDefault="00694F53" w:rsidP="000E49A3">
      <w:pPr>
        <w:pStyle w:val="Bullet1"/>
      </w:pPr>
      <w:r>
        <w:lastRenderedPageBreak/>
        <w:t>Request funding for alternative placements, including day care provision, supported living, residential care, Direct Payments and/or Personal Budgets;</w:t>
      </w:r>
    </w:p>
    <w:p w14:paraId="057D912C" w14:textId="77777777" w:rsidR="00694F53" w:rsidRDefault="00CC458D" w:rsidP="00CC458D">
      <w:pPr>
        <w:pStyle w:val="Bullet1"/>
      </w:pPr>
      <w:r>
        <w:t xml:space="preserve">Determine whether visits to other services are required to support the achievement of the learner’s </w:t>
      </w:r>
      <w:r w:rsidRPr="00CC458D">
        <w:t>Destination Outcomes</w:t>
      </w:r>
      <w:r>
        <w:t xml:space="preserve">/LTG, including Employment or Further Education, Independent Living, Community Inclusion and Health, </w:t>
      </w:r>
      <w:r w:rsidR="00E07AB2">
        <w:t xml:space="preserve">all of which </w:t>
      </w:r>
      <w:r>
        <w:t>will be explored and noted.</w:t>
      </w:r>
    </w:p>
    <w:p w14:paraId="3D36FFA7" w14:textId="77777777" w:rsidR="00694F53" w:rsidRDefault="00694F53" w:rsidP="00694F53">
      <w:pPr>
        <w:pStyle w:val="Bullet1"/>
        <w:numPr>
          <w:ilvl w:val="0"/>
          <w:numId w:val="0"/>
        </w:numPr>
        <w:ind w:left="340" w:hanging="340"/>
      </w:pPr>
    </w:p>
    <w:p w14:paraId="01FA8C21" w14:textId="77777777" w:rsidR="00694F53" w:rsidRDefault="00694F53" w:rsidP="00694F53">
      <w:pPr>
        <w:pStyle w:val="Bullet1"/>
        <w:numPr>
          <w:ilvl w:val="0"/>
          <w:numId w:val="0"/>
        </w:numPr>
      </w:pPr>
      <w:r>
        <w:t>A Local Authority may expect a learner to visit alternative placements when applying for new funding and therefore, visits to other services may be facilitated during this final period</w:t>
      </w:r>
      <w:r w:rsidR="002110D3">
        <w:t xml:space="preserve">, supported by either the EC, ESM or </w:t>
      </w:r>
      <w:r w:rsidR="007E007B">
        <w:t>ETA</w:t>
      </w:r>
      <w:r>
        <w:t>.</w:t>
      </w:r>
    </w:p>
    <w:p w14:paraId="03DE7508" w14:textId="77777777" w:rsidR="00CC458D" w:rsidRDefault="00CC458D" w:rsidP="00694F53">
      <w:pPr>
        <w:pStyle w:val="Bullet1"/>
        <w:numPr>
          <w:ilvl w:val="0"/>
          <w:numId w:val="0"/>
        </w:numPr>
      </w:pPr>
    </w:p>
    <w:p w14:paraId="083C5960" w14:textId="77777777" w:rsidR="00694F53" w:rsidRDefault="00694F53" w:rsidP="00694F53">
      <w:pPr>
        <w:pStyle w:val="Bullet1"/>
        <w:numPr>
          <w:ilvl w:val="0"/>
          <w:numId w:val="0"/>
        </w:numPr>
      </w:pPr>
      <w:r>
        <w:t xml:space="preserve">Further </w:t>
      </w:r>
      <w:r>
        <w:rPr>
          <w:b/>
        </w:rPr>
        <w:t>multi-disciplinary meetings</w:t>
      </w:r>
      <w:r>
        <w:t xml:space="preserve"> may be necessary in the later stages of the Transitioning Out process.  The frequency and nature of these</w:t>
      </w:r>
      <w:r w:rsidR="006B0183">
        <w:t xml:space="preserve"> will vary considerably, depende</w:t>
      </w:r>
      <w:r>
        <w:t xml:space="preserve">nt on a learner’s intended </w:t>
      </w:r>
      <w:r>
        <w:rPr>
          <w:b/>
        </w:rPr>
        <w:t>Destination</w:t>
      </w:r>
      <w:r w:rsidR="006870EB">
        <w:rPr>
          <w:b/>
        </w:rPr>
        <w:t xml:space="preserve">, </w:t>
      </w:r>
      <w:r w:rsidR="006870EB">
        <w:t>which will have been discussed and agreed at the start of the placement</w:t>
      </w:r>
      <w:r>
        <w:rPr>
          <w:b/>
        </w:rPr>
        <w:t>.</w:t>
      </w:r>
    </w:p>
    <w:p w14:paraId="0E3D7B74" w14:textId="77777777" w:rsidR="00694F53" w:rsidRDefault="00694F53" w:rsidP="00694F53">
      <w:pPr>
        <w:pStyle w:val="Bullet1"/>
        <w:numPr>
          <w:ilvl w:val="0"/>
          <w:numId w:val="0"/>
        </w:numPr>
      </w:pPr>
    </w:p>
    <w:p w14:paraId="67B5D593" w14:textId="77777777" w:rsidR="00694F53" w:rsidRPr="00694F53" w:rsidRDefault="00694F53" w:rsidP="00694F53">
      <w:pPr>
        <w:pStyle w:val="Bullet1"/>
        <w:numPr>
          <w:ilvl w:val="0"/>
          <w:numId w:val="0"/>
        </w:numPr>
      </w:pPr>
      <w:r>
        <w:t>A final review meeting to share a learner’s progress and achievements may be called at the end of their final academic year, in addition to their final EHCP review.</w:t>
      </w:r>
    </w:p>
    <w:p w14:paraId="45CF69CE" w14:textId="77777777" w:rsidR="00DB2842" w:rsidRPr="00D23696" w:rsidRDefault="00DB2842" w:rsidP="000E49A3">
      <w:pPr>
        <w:pStyle w:val="Bullet1"/>
        <w:numPr>
          <w:ilvl w:val="0"/>
          <w:numId w:val="0"/>
        </w:numPr>
        <w:ind w:left="340" w:hanging="340"/>
      </w:pPr>
    </w:p>
    <w:p w14:paraId="411AD1E9" w14:textId="77777777" w:rsidR="00F654B9" w:rsidRDefault="00F654B9" w:rsidP="00F654B9">
      <w:pPr>
        <w:rPr>
          <w:szCs w:val="24"/>
        </w:rPr>
      </w:pPr>
    </w:p>
    <w:p w14:paraId="3CF3BBD3" w14:textId="77777777" w:rsidR="008E05BD" w:rsidRPr="00D23696" w:rsidRDefault="00722664" w:rsidP="00D23696">
      <w:pPr>
        <w:pStyle w:val="Heading2"/>
        <w:spacing w:before="0" w:after="0" w:line="360" w:lineRule="auto"/>
        <w:rPr>
          <w:rStyle w:val="BoldOrangeChar"/>
          <w:rFonts w:asciiTheme="majorHAnsi" w:eastAsiaTheme="minorHAnsi" w:hAnsiTheme="majorHAnsi" w:cs="Arial"/>
          <w:b w:val="0"/>
          <w:color w:val="653279" w:themeColor="accent1"/>
          <w:szCs w:val="24"/>
          <w:lang w:val="en-GB" w:eastAsia="en-US"/>
        </w:rPr>
      </w:pPr>
      <w:r>
        <w:rPr>
          <w:b/>
        </w:rPr>
        <w:t>Part Four</w:t>
      </w:r>
      <w:r w:rsidRPr="00F73B94">
        <w:rPr>
          <w:b/>
        </w:rPr>
        <w:t>:</w:t>
      </w:r>
      <w:r w:rsidR="00D23696">
        <w:rPr>
          <w:b/>
        </w:rPr>
        <w:t xml:space="preserve"> </w:t>
      </w:r>
      <w:r w:rsidR="005C3CCA">
        <w:rPr>
          <w:rStyle w:val="BoldOrangeChar"/>
          <w:lang w:val="en-GB"/>
        </w:rPr>
        <w:t>Destination Tracking</w:t>
      </w:r>
    </w:p>
    <w:p w14:paraId="6D7961DF" w14:textId="77777777" w:rsidR="00533AD5" w:rsidRDefault="00533AD5" w:rsidP="004A0EFB">
      <w:pPr>
        <w:pStyle w:val="Heading2"/>
        <w:spacing w:before="0" w:after="0" w:line="360" w:lineRule="auto"/>
        <w:rPr>
          <w:b/>
        </w:rPr>
      </w:pPr>
    </w:p>
    <w:p w14:paraId="64AC8825" w14:textId="77777777" w:rsidR="00DB2842" w:rsidRDefault="00DB2842" w:rsidP="00DB2842">
      <w:r>
        <w:t>Attendance at</w:t>
      </w:r>
      <w:r w:rsidR="002110D3">
        <w:t>,</w:t>
      </w:r>
      <w:r>
        <w:t xml:space="preserve"> and contribution to</w:t>
      </w:r>
      <w:r w:rsidR="002110D3">
        <w:t>,</w:t>
      </w:r>
      <w:r>
        <w:t xml:space="preserve"> transition reviews, end of term progress meetings and annual reviews (including EHC Plan reviews) is valuable and provides opportunities to full</w:t>
      </w:r>
      <w:r w:rsidR="000B1CC4">
        <w:t>y</w:t>
      </w:r>
      <w:r>
        <w:t xml:space="preserve"> engage in the learning </w:t>
      </w:r>
      <w:r w:rsidR="00E07AB2">
        <w:t xml:space="preserve">journey </w:t>
      </w:r>
      <w:r>
        <w:t xml:space="preserve">and next steps decision making of </w:t>
      </w:r>
      <w:r w:rsidR="000B1CC4">
        <w:t>the learner</w:t>
      </w:r>
      <w:r>
        <w:t xml:space="preserve">.  </w:t>
      </w:r>
    </w:p>
    <w:p w14:paraId="49EFCF14" w14:textId="77777777" w:rsidR="00DB2842" w:rsidRDefault="00DB2842" w:rsidP="00DB2842"/>
    <w:p w14:paraId="0FE811BA" w14:textId="77777777" w:rsidR="00DB2842" w:rsidRDefault="00DB2842" w:rsidP="00DB2842">
      <w:r>
        <w:t xml:space="preserve">The college’s </w:t>
      </w:r>
      <w:r w:rsidR="007E007B">
        <w:t>ETA</w:t>
      </w:r>
      <w:r>
        <w:t xml:space="preserve">s (Education Transition </w:t>
      </w:r>
      <w:r w:rsidR="007E007B">
        <w:t>Advisors</w:t>
      </w:r>
      <w:r>
        <w:t xml:space="preserve">) will maintain contact with the learner and their family </w:t>
      </w:r>
      <w:r w:rsidR="000B1CC4">
        <w:t>throughout the processes of transition from</w:t>
      </w:r>
      <w:r>
        <w:t xml:space="preserve"> </w:t>
      </w:r>
      <w:r w:rsidR="006B0183">
        <w:t>‘</w:t>
      </w:r>
      <w:r w:rsidR="000B1CC4">
        <w:t>T</w:t>
      </w:r>
      <w:r>
        <w:t xml:space="preserve">ransition </w:t>
      </w:r>
      <w:r w:rsidR="000B1CC4">
        <w:t>In</w:t>
      </w:r>
      <w:r w:rsidR="006B0183">
        <w:t>’</w:t>
      </w:r>
      <w:r w:rsidR="000B1CC4">
        <w:t xml:space="preserve"> to</w:t>
      </w:r>
      <w:r>
        <w:t xml:space="preserve"> college, in college </w:t>
      </w:r>
      <w:r w:rsidR="006B0183">
        <w:t>‘Year-on-</w:t>
      </w:r>
      <w:r w:rsidR="000B1CC4">
        <w:t>year</w:t>
      </w:r>
      <w:r w:rsidR="006B0183">
        <w:t>’</w:t>
      </w:r>
      <w:r w:rsidR="000B1CC4">
        <w:t xml:space="preserve"> programme changes and </w:t>
      </w:r>
      <w:r w:rsidR="006B0183">
        <w:t>‘</w:t>
      </w:r>
      <w:r w:rsidR="000B1CC4">
        <w:t>Transitioning O</w:t>
      </w:r>
      <w:r>
        <w:t>ut</w:t>
      </w:r>
      <w:r w:rsidR="006B0183">
        <w:t>’</w:t>
      </w:r>
      <w:r>
        <w:t xml:space="preserve"> of college.</w:t>
      </w:r>
      <w:r w:rsidR="000B1CC4">
        <w:t xml:space="preserve">  </w:t>
      </w:r>
      <w:r w:rsidR="002110D3">
        <w:t>They will work with learners/</w:t>
      </w:r>
      <w:r>
        <w:t xml:space="preserve">parents </w:t>
      </w:r>
      <w:r w:rsidR="002110D3">
        <w:t xml:space="preserve">and ECs </w:t>
      </w:r>
      <w:r>
        <w:t>by offering practical advice, identifying appropriate destinations and providing sources of further advice and support</w:t>
      </w:r>
      <w:r w:rsidR="002110D3">
        <w:t>, where required</w:t>
      </w:r>
      <w:r>
        <w:t>.</w:t>
      </w:r>
    </w:p>
    <w:p w14:paraId="54FCCFC8" w14:textId="77777777" w:rsidR="00DB2842" w:rsidRDefault="00DB2842" w:rsidP="00DB2842"/>
    <w:p w14:paraId="01BC02E0" w14:textId="77777777" w:rsidR="000B1CC4" w:rsidRDefault="000B1CC4" w:rsidP="00CC458D">
      <w:pPr>
        <w:pStyle w:val="Bullet1"/>
        <w:numPr>
          <w:ilvl w:val="0"/>
          <w:numId w:val="0"/>
        </w:numPr>
      </w:pPr>
      <w:r>
        <w:t>As part of our Quality Assurance processes and data reporting within our annual Self-Assessment Report and Ofsted data and funding return requirements, the college tracks all learners who leave the education provision</w:t>
      </w:r>
      <w:r w:rsidRPr="000B1CC4">
        <w:t xml:space="preserve"> </w:t>
      </w:r>
      <w:r>
        <w:t>at regular intervals.  The Destination Tracking is to determine if the planned outcomes and destinations</w:t>
      </w:r>
      <w:r w:rsidR="00CC458D">
        <w:t>,</w:t>
      </w:r>
      <w:r>
        <w:t xml:space="preserve"> </w:t>
      </w:r>
      <w:r w:rsidR="00CC458D">
        <w:t xml:space="preserve">including Employment or Further Education, Independent Living, Community Inclusion and Health, </w:t>
      </w:r>
      <w:r>
        <w:t>have been achieved as a result of the time spent at college and whether they have been sustained along with the maintenance of any skills developed.</w:t>
      </w:r>
    </w:p>
    <w:p w14:paraId="24C70F56" w14:textId="77777777" w:rsidR="000B1CC4" w:rsidRDefault="000B1CC4" w:rsidP="00DB2842"/>
    <w:p w14:paraId="03A4266C" w14:textId="77777777" w:rsidR="000B1CC4" w:rsidRDefault="000B1CC4" w:rsidP="00DB2842">
      <w:r>
        <w:t xml:space="preserve">The Destination Tracking process will begin at the final review meeting, where the destination outcome for both education/employment and living arrangements will be agreed, along with a summary of the key skills that have been gained as a result of the study programme.  This information will be recorded </w:t>
      </w:r>
      <w:r w:rsidR="00E135EE">
        <w:t xml:space="preserve">in section 3 part G </w:t>
      </w:r>
      <w:r>
        <w:t xml:space="preserve">on the </w:t>
      </w:r>
      <w:r w:rsidR="00E135EE" w:rsidRPr="00E135EE">
        <w:t>Transition Out</w:t>
      </w:r>
      <w:r w:rsidRPr="00E135EE">
        <w:t xml:space="preserve"> Tracking Form</w:t>
      </w:r>
      <w:r w:rsidR="0093167D" w:rsidRPr="00E135EE">
        <w:t xml:space="preserve"> (A</w:t>
      </w:r>
      <w:r w:rsidRPr="00E135EE">
        <w:t xml:space="preserve">ppendix </w:t>
      </w:r>
      <w:r w:rsidR="00E135EE" w:rsidRPr="00E135EE">
        <w:t>6</w:t>
      </w:r>
      <w:r w:rsidRPr="00E135EE">
        <w:t>)</w:t>
      </w:r>
      <w:r w:rsidR="00131F8D" w:rsidRPr="00E135EE">
        <w:t>.</w:t>
      </w:r>
    </w:p>
    <w:p w14:paraId="4B62AEFD" w14:textId="77777777" w:rsidR="00131F8D" w:rsidRDefault="00131F8D" w:rsidP="00DB2842"/>
    <w:p w14:paraId="23DFEAC4" w14:textId="77777777" w:rsidR="00131F8D" w:rsidRDefault="00131F8D" w:rsidP="00DB2842">
      <w:r>
        <w:t>Further Destination Tracking reviews will</w:t>
      </w:r>
      <w:r w:rsidR="006B0183">
        <w:t>, at the agreement and discretion of the learner and/or their family,</w:t>
      </w:r>
      <w:r>
        <w:t xml:space="preserve"> be undertaken at:</w:t>
      </w:r>
    </w:p>
    <w:p w14:paraId="603E2649" w14:textId="77777777" w:rsidR="00131F8D" w:rsidRDefault="00131F8D" w:rsidP="00DB2842"/>
    <w:p w14:paraId="4B4FAA7E" w14:textId="77777777" w:rsidR="00131F8D" w:rsidRDefault="002110D3" w:rsidP="00131F8D">
      <w:pPr>
        <w:pStyle w:val="Bullet1"/>
      </w:pPr>
      <w:r>
        <w:t>4</w:t>
      </w:r>
      <w:r w:rsidR="00131F8D">
        <w:t xml:space="preserve"> months after leaving college (approximately November);</w:t>
      </w:r>
    </w:p>
    <w:p w14:paraId="4A4C73CC" w14:textId="77777777" w:rsidR="00131F8D" w:rsidRDefault="00131F8D" w:rsidP="00131F8D">
      <w:pPr>
        <w:pStyle w:val="Bullet1"/>
      </w:pPr>
      <w:r>
        <w:t xml:space="preserve">12 months after leaving college (approximately </w:t>
      </w:r>
      <w:r w:rsidR="007E007B">
        <w:t>June/July</w:t>
      </w:r>
      <w:r>
        <w:t>)</w:t>
      </w:r>
    </w:p>
    <w:p w14:paraId="720332A5" w14:textId="77777777" w:rsidR="00131F8D" w:rsidRPr="000B1CC4" w:rsidRDefault="00131F8D" w:rsidP="00DB2842"/>
    <w:p w14:paraId="7FBAE677" w14:textId="77777777" w:rsidR="00BA73BE" w:rsidRDefault="00131F8D" w:rsidP="00DB2842">
      <w:r w:rsidRPr="00131F8D">
        <w:rPr>
          <w:b/>
        </w:rPr>
        <w:t>Destination Tracking Reviews</w:t>
      </w:r>
      <w:r>
        <w:t xml:space="preserve"> will be undertaken in the most convenient and efficient way for the learner and their family</w:t>
      </w:r>
      <w:r w:rsidR="00E135EE">
        <w:t xml:space="preserve"> and will be recorded on the </w:t>
      </w:r>
      <w:r w:rsidR="00E135EE" w:rsidRPr="00E135EE">
        <w:rPr>
          <w:b/>
        </w:rPr>
        <w:t>Destination Tracking Form (Appendix 7)</w:t>
      </w:r>
      <w:r>
        <w:t>.  This can include:</w:t>
      </w:r>
    </w:p>
    <w:p w14:paraId="40284D41" w14:textId="77777777" w:rsidR="00131F8D" w:rsidRDefault="00131F8D" w:rsidP="00DB2842"/>
    <w:p w14:paraId="65289159" w14:textId="77777777" w:rsidR="00131F8D" w:rsidRDefault="00131F8D" w:rsidP="00131F8D">
      <w:pPr>
        <w:pStyle w:val="Bullet1"/>
      </w:pPr>
      <w:r>
        <w:t>A telephone</w:t>
      </w:r>
      <w:r w:rsidR="007E007B">
        <w:t>, Zoom, TEAMs</w:t>
      </w:r>
      <w:r>
        <w:t xml:space="preserve"> or Skype call;</w:t>
      </w:r>
    </w:p>
    <w:p w14:paraId="605D0242" w14:textId="77777777" w:rsidR="00131F8D" w:rsidRDefault="00131F8D" w:rsidP="00131F8D">
      <w:pPr>
        <w:pStyle w:val="Bullet1"/>
      </w:pPr>
      <w:r>
        <w:t>An emailed form/questionnaire;</w:t>
      </w:r>
    </w:p>
    <w:p w14:paraId="6B2C92A3" w14:textId="77777777" w:rsidR="00131F8D" w:rsidRDefault="006B0183" w:rsidP="00131F8D">
      <w:pPr>
        <w:pStyle w:val="Bullet1"/>
      </w:pPr>
      <w:r>
        <w:t>A face-to-</w:t>
      </w:r>
      <w:r w:rsidR="00131F8D">
        <w:t>face meeting;</w:t>
      </w:r>
    </w:p>
    <w:p w14:paraId="2802704D" w14:textId="77777777" w:rsidR="00131F8D" w:rsidRDefault="00131F8D" w:rsidP="00131F8D">
      <w:pPr>
        <w:pStyle w:val="Bullet1"/>
      </w:pPr>
      <w:r>
        <w:t>A written and posted letter with form.</w:t>
      </w:r>
    </w:p>
    <w:p w14:paraId="009B01D5" w14:textId="77777777" w:rsidR="00131F8D" w:rsidRDefault="00131F8D" w:rsidP="00DB2842"/>
    <w:p w14:paraId="55A20346" w14:textId="77777777" w:rsidR="00131F8D" w:rsidRDefault="00131F8D" w:rsidP="00DB2842">
      <w:r>
        <w:lastRenderedPageBreak/>
        <w:t>Destination data will be submitted as required within the Individual Learner Report (ILR) at the specified time via our Databridge MIS system, which is then uploaded to a secure portal and seen by the Education and Skil</w:t>
      </w:r>
      <w:r w:rsidR="009D07DA">
        <w:t>ls Funding Authority and Ofsted; in adherence to Data Protection policies.</w:t>
      </w:r>
    </w:p>
    <w:p w14:paraId="4364656E" w14:textId="77777777" w:rsidR="00131F8D" w:rsidRDefault="00131F8D" w:rsidP="00DB2842"/>
    <w:p w14:paraId="7D93F976" w14:textId="77777777" w:rsidR="00131F8D" w:rsidRDefault="00131F8D" w:rsidP="00DB2842">
      <w:r>
        <w:t xml:space="preserve">Destination data will be </w:t>
      </w:r>
      <w:r w:rsidR="009D07DA">
        <w:t>collated and anonymised when reported on within the</w:t>
      </w:r>
      <w:r w:rsidR="007E007B">
        <w:t xml:space="preserve"> college’s </w:t>
      </w:r>
      <w:r w:rsidR="002110D3">
        <w:t xml:space="preserve">annual </w:t>
      </w:r>
      <w:r w:rsidR="006B0183">
        <w:t>Self-Assessment Report (</w:t>
      </w:r>
      <w:r w:rsidR="009D07DA">
        <w:t>SAR</w:t>
      </w:r>
      <w:r w:rsidR="006B0183">
        <w:t>)</w:t>
      </w:r>
      <w:r w:rsidR="009D07DA">
        <w:t xml:space="preserve">. </w:t>
      </w:r>
      <w:r>
        <w:t xml:space="preserve"> </w:t>
      </w:r>
    </w:p>
    <w:p w14:paraId="30D60F2A" w14:textId="77777777" w:rsidR="00131F8D" w:rsidRDefault="00131F8D" w:rsidP="00DB2842"/>
    <w:p w14:paraId="1F109C4C" w14:textId="77777777" w:rsidR="000C4A3E" w:rsidRDefault="000C4A3E" w:rsidP="00DB2842"/>
    <w:p w14:paraId="5B48C183" w14:textId="77777777" w:rsidR="00E239CD" w:rsidRPr="00D23696" w:rsidRDefault="00E239CD" w:rsidP="00E239CD">
      <w:pPr>
        <w:pStyle w:val="Heading2"/>
        <w:spacing w:before="0" w:after="0" w:line="360" w:lineRule="auto"/>
        <w:rPr>
          <w:rStyle w:val="BoldOrangeChar"/>
          <w:rFonts w:asciiTheme="majorHAnsi" w:eastAsiaTheme="minorHAnsi" w:hAnsiTheme="majorHAnsi" w:cs="Arial"/>
          <w:b w:val="0"/>
          <w:color w:val="653279" w:themeColor="accent1"/>
          <w:szCs w:val="24"/>
          <w:lang w:val="en-GB" w:eastAsia="en-US"/>
        </w:rPr>
      </w:pPr>
      <w:r>
        <w:rPr>
          <w:b/>
        </w:rPr>
        <w:t>Part Five</w:t>
      </w:r>
      <w:r w:rsidRPr="00F73B94">
        <w:rPr>
          <w:b/>
        </w:rPr>
        <w:t>:</w:t>
      </w:r>
      <w:r>
        <w:rPr>
          <w:b/>
        </w:rPr>
        <w:t xml:space="preserve"> </w:t>
      </w:r>
      <w:r>
        <w:rPr>
          <w:rStyle w:val="BoldOrangeChar"/>
          <w:lang w:val="en-GB"/>
        </w:rPr>
        <w:t>Responsibilities</w:t>
      </w:r>
    </w:p>
    <w:p w14:paraId="11349762" w14:textId="77777777" w:rsidR="00E239CD" w:rsidRDefault="00E239CD" w:rsidP="00DB2842"/>
    <w:p w14:paraId="29A04772" w14:textId="77777777" w:rsidR="00E239CD" w:rsidRDefault="00E239CD" w:rsidP="00DB2842">
      <w:r>
        <w:rPr>
          <w:b/>
        </w:rPr>
        <w:t>Learners</w:t>
      </w:r>
      <w:r>
        <w:t xml:space="preserve"> will be encouraged to attend at least part, if not all, of their transition meetings:</w:t>
      </w:r>
    </w:p>
    <w:p w14:paraId="04E1A6C7" w14:textId="77777777" w:rsidR="00E239CD" w:rsidRDefault="00E239CD" w:rsidP="00DB2842"/>
    <w:p w14:paraId="5FC7C2E9" w14:textId="77777777" w:rsidR="00E239CD" w:rsidRDefault="00E239CD" w:rsidP="00E239CD">
      <w:pPr>
        <w:pStyle w:val="Bullet1"/>
      </w:pPr>
      <w:r>
        <w:t>The learner must be supported by being offered a meeting in a format they can understand, at a suitable time and place for them;</w:t>
      </w:r>
    </w:p>
    <w:p w14:paraId="0D8D3B57" w14:textId="77777777" w:rsidR="00E239CD" w:rsidRDefault="00E239CD" w:rsidP="00E239CD">
      <w:pPr>
        <w:pStyle w:val="Bullet1"/>
      </w:pPr>
      <w:r>
        <w:t>Meetings must be person-centred, enabling the learner to participate as much as they would like to;</w:t>
      </w:r>
    </w:p>
    <w:p w14:paraId="7E2A3226" w14:textId="77777777" w:rsidR="00E239CD" w:rsidRDefault="00E239CD" w:rsidP="00E239CD">
      <w:pPr>
        <w:pStyle w:val="Bullet1"/>
      </w:pPr>
      <w:r>
        <w:t>How much a lea</w:t>
      </w:r>
      <w:r w:rsidR="006870EB">
        <w:t>r</w:t>
      </w:r>
      <w:r>
        <w:t>ner participates will be recorded on their EHCP and ILP;</w:t>
      </w:r>
    </w:p>
    <w:p w14:paraId="33D2C8D4" w14:textId="77777777" w:rsidR="00E239CD" w:rsidRDefault="00E239CD" w:rsidP="00E239CD">
      <w:pPr>
        <w:pStyle w:val="Bullet1"/>
      </w:pPr>
      <w:r>
        <w:t>Where practical and taking mental capacity into account, learners will have responsibility for their own learning.</w:t>
      </w:r>
    </w:p>
    <w:p w14:paraId="386F2B95" w14:textId="77777777" w:rsidR="00E239CD" w:rsidRDefault="00E239CD" w:rsidP="00DB2842">
      <w:pPr>
        <w:rPr>
          <w:b/>
        </w:rPr>
      </w:pPr>
    </w:p>
    <w:p w14:paraId="1BE7C04F" w14:textId="77777777" w:rsidR="00E239CD" w:rsidRDefault="00E239CD" w:rsidP="00DB2842">
      <w:r>
        <w:rPr>
          <w:b/>
        </w:rPr>
        <w:t>All staff</w:t>
      </w:r>
      <w:r>
        <w:t xml:space="preserve"> should presume that learners have mental capacity unless it is proven otherwise.  Where transition decisions are made on behalf of learners, they must be made in the learner’s best interests, in accordance with appropriate decision making procedures.</w:t>
      </w:r>
    </w:p>
    <w:p w14:paraId="24C94DA0" w14:textId="77777777" w:rsidR="00E239CD" w:rsidRDefault="00E239CD" w:rsidP="00DB2842"/>
    <w:p w14:paraId="59B3AC12" w14:textId="77777777" w:rsidR="00E239CD" w:rsidRDefault="004F2A5B" w:rsidP="00DB2842">
      <w:r>
        <w:rPr>
          <w:b/>
        </w:rPr>
        <w:t>All staff</w:t>
      </w:r>
      <w:r>
        <w:t xml:space="preserve"> should encourage learner participation in the transition process.  Staff and/or family members should act as advocates where necessary.  A learner may request access to an </w:t>
      </w:r>
      <w:r>
        <w:rPr>
          <w:b/>
        </w:rPr>
        <w:t>Independent Advocate</w:t>
      </w:r>
      <w:r>
        <w:t xml:space="preserve"> if desired.</w:t>
      </w:r>
    </w:p>
    <w:p w14:paraId="5CDD0A2D" w14:textId="77777777" w:rsidR="004F2A5B" w:rsidRDefault="004F2A5B" w:rsidP="00DB2842"/>
    <w:p w14:paraId="26DC3FCF" w14:textId="77777777" w:rsidR="004F2A5B" w:rsidRDefault="004F2A5B" w:rsidP="00DB2842">
      <w:r>
        <w:rPr>
          <w:b/>
        </w:rPr>
        <w:t xml:space="preserve">All </w:t>
      </w:r>
      <w:r w:rsidR="00E135EE">
        <w:rPr>
          <w:b/>
        </w:rPr>
        <w:t xml:space="preserve">education </w:t>
      </w:r>
      <w:r>
        <w:rPr>
          <w:b/>
        </w:rPr>
        <w:t>staff</w:t>
      </w:r>
      <w:r>
        <w:t xml:space="preserve"> should fill in the appropriate documentation during the transition process and keep accurate records.</w:t>
      </w:r>
    </w:p>
    <w:p w14:paraId="6A88AB68" w14:textId="77777777" w:rsidR="004F2A5B" w:rsidRDefault="004F2A5B" w:rsidP="00DB2842"/>
    <w:p w14:paraId="1824B25D" w14:textId="77777777" w:rsidR="004F2A5B" w:rsidRDefault="004F2A5B" w:rsidP="00DB2842">
      <w:r>
        <w:rPr>
          <w:b/>
        </w:rPr>
        <w:lastRenderedPageBreak/>
        <w:t>All staff</w:t>
      </w:r>
      <w:r>
        <w:t xml:space="preserve"> also have a responsibility to ensure that </w:t>
      </w:r>
      <w:r>
        <w:rPr>
          <w:b/>
        </w:rPr>
        <w:t>external stakeholders</w:t>
      </w:r>
      <w:r>
        <w:t xml:space="preserve"> are contact</w:t>
      </w:r>
      <w:r w:rsidR="001F27A2">
        <w:t>ed</w:t>
      </w:r>
      <w:r>
        <w:t xml:space="preserve"> at the appropriate time.</w:t>
      </w:r>
    </w:p>
    <w:p w14:paraId="52DB5DBF" w14:textId="77777777" w:rsidR="004F2A5B" w:rsidRDefault="004F2A5B" w:rsidP="00DB2842"/>
    <w:p w14:paraId="44A8388F" w14:textId="77777777" w:rsidR="004F2A5B" w:rsidRDefault="00E135EE" w:rsidP="00DB2842">
      <w:r w:rsidRPr="00E135EE">
        <w:rPr>
          <w:b/>
        </w:rPr>
        <w:t>All education staff</w:t>
      </w:r>
      <w:r w:rsidR="004F2A5B">
        <w:t xml:space="preserve"> should ensure that the procedures in this strategy are followed and that all assessments are sufficiently detailed and completed promptly.  </w:t>
      </w:r>
      <w:r w:rsidR="007E007B">
        <w:t>ETA</w:t>
      </w:r>
      <w:r w:rsidR="004F2A5B">
        <w:t>s should oversee transition meetings and liaise with other professionals.</w:t>
      </w:r>
    </w:p>
    <w:p w14:paraId="048EAD6E" w14:textId="77777777" w:rsidR="004F2A5B" w:rsidRDefault="004F2A5B" w:rsidP="00DB2842"/>
    <w:p w14:paraId="70A00284" w14:textId="77777777" w:rsidR="004F2A5B" w:rsidRDefault="004F2A5B" w:rsidP="00DB2842">
      <w:r>
        <w:t xml:space="preserve">The </w:t>
      </w:r>
      <w:r w:rsidR="007E007B">
        <w:rPr>
          <w:b/>
        </w:rPr>
        <w:t>Principal</w:t>
      </w:r>
      <w:r>
        <w:t xml:space="preserve"> will monitor data (supplied by the </w:t>
      </w:r>
      <w:r w:rsidR="00E135EE">
        <w:rPr>
          <w:b/>
        </w:rPr>
        <w:t>Education Pathways Manager</w:t>
      </w:r>
      <w:r>
        <w:t xml:space="preserve"> and/or </w:t>
      </w:r>
      <w:r>
        <w:rPr>
          <w:b/>
        </w:rPr>
        <w:t>Head of Performance Management and College Improvement (HoPCI)</w:t>
      </w:r>
      <w:r w:rsidR="002110D3">
        <w:rPr>
          <w:b/>
        </w:rPr>
        <w:t>)</w:t>
      </w:r>
      <w:r>
        <w:t xml:space="preserve"> to identify areas for improvement.</w:t>
      </w:r>
    </w:p>
    <w:p w14:paraId="458D6C93" w14:textId="77777777" w:rsidR="004F2A5B" w:rsidRDefault="004F2A5B" w:rsidP="00DB2842"/>
    <w:p w14:paraId="5D8B2F86" w14:textId="77777777" w:rsidR="004F2A5B" w:rsidRPr="004F2A5B" w:rsidRDefault="004F2A5B" w:rsidP="00DB2842">
      <w:r>
        <w:rPr>
          <w:b/>
        </w:rPr>
        <w:t>Learners</w:t>
      </w:r>
      <w:r>
        <w:t xml:space="preserve"> should contribute to the transition process and make their wishes known wherever possible.</w:t>
      </w:r>
    </w:p>
    <w:p w14:paraId="3FAB05A4" w14:textId="77777777" w:rsidR="00E239CD" w:rsidRDefault="00E239CD" w:rsidP="00DB2842"/>
    <w:p w14:paraId="1F0435E1" w14:textId="77777777" w:rsidR="002110D3" w:rsidRDefault="002110D3" w:rsidP="00DB2842"/>
    <w:p w14:paraId="7F93AF48" w14:textId="77777777" w:rsidR="002110D3" w:rsidRPr="00DB2842" w:rsidRDefault="002110D3" w:rsidP="00DB2842"/>
    <w:p w14:paraId="5FB86659" w14:textId="77777777" w:rsidR="002A1D93" w:rsidRPr="000F790B" w:rsidRDefault="002A1D93" w:rsidP="002A1D93">
      <w:pPr>
        <w:pStyle w:val="Heading3"/>
        <w:spacing w:before="0" w:line="360" w:lineRule="auto"/>
        <w:rPr>
          <w:color w:val="E57200" w:themeColor="accent2"/>
          <w:sz w:val="36"/>
        </w:rPr>
      </w:pPr>
      <w:r>
        <w:rPr>
          <w:color w:val="E57200" w:themeColor="accent2"/>
          <w:sz w:val="36"/>
        </w:rPr>
        <w:t>Quality Assurance</w:t>
      </w:r>
    </w:p>
    <w:p w14:paraId="403B54A6" w14:textId="77777777" w:rsidR="00BA73BE" w:rsidRDefault="00BA73BE" w:rsidP="00D23696">
      <w:pPr>
        <w:pStyle w:val="IndentedText"/>
        <w:tabs>
          <w:tab w:val="clear" w:pos="1418"/>
        </w:tabs>
        <w:spacing w:after="0" w:line="360" w:lineRule="auto"/>
        <w:ind w:left="0" w:firstLine="0"/>
        <w:rPr>
          <w:color w:val="000000" w:themeColor="text1"/>
          <w:lang w:val="en-GB"/>
        </w:rPr>
      </w:pPr>
    </w:p>
    <w:p w14:paraId="3F2B48DC" w14:textId="77777777" w:rsidR="002A1D93" w:rsidRDefault="00BA73BE" w:rsidP="00D23696">
      <w:pPr>
        <w:pStyle w:val="IndentedText"/>
        <w:tabs>
          <w:tab w:val="clear" w:pos="1418"/>
        </w:tabs>
        <w:spacing w:after="0" w:line="360" w:lineRule="auto"/>
        <w:ind w:left="0" w:firstLine="0"/>
        <w:rPr>
          <w:color w:val="000000" w:themeColor="text1"/>
          <w:lang w:val="en-GB"/>
        </w:rPr>
      </w:pPr>
      <w:r>
        <w:rPr>
          <w:color w:val="000000" w:themeColor="text1"/>
          <w:lang w:val="en-GB"/>
        </w:rPr>
        <w:t xml:space="preserve">The effectiveness of the strategy will be monitored and evaluated regularly, ensuring that there remains a clear, consistent focus on raising learners’ achievement and </w:t>
      </w:r>
      <w:r w:rsidR="00E135EE">
        <w:rPr>
          <w:color w:val="000000" w:themeColor="text1"/>
          <w:lang w:val="en-GB"/>
        </w:rPr>
        <w:t xml:space="preserve">involvement, as well as promoting </w:t>
      </w:r>
      <w:r>
        <w:rPr>
          <w:color w:val="000000" w:themeColor="text1"/>
          <w:lang w:val="en-GB"/>
        </w:rPr>
        <w:t>positive engagement with parents.</w:t>
      </w:r>
    </w:p>
    <w:p w14:paraId="7A96F09E" w14:textId="77777777" w:rsidR="00BA73BE" w:rsidRDefault="00BA73BE" w:rsidP="00D23696">
      <w:pPr>
        <w:pStyle w:val="IndentedText"/>
        <w:tabs>
          <w:tab w:val="clear" w:pos="1418"/>
        </w:tabs>
        <w:spacing w:after="0" w:line="360" w:lineRule="auto"/>
        <w:ind w:left="0" w:firstLine="0"/>
        <w:rPr>
          <w:color w:val="000000" w:themeColor="text1"/>
          <w:lang w:val="en-GB"/>
        </w:rPr>
      </w:pPr>
    </w:p>
    <w:p w14:paraId="0B99CF4B" w14:textId="77777777" w:rsidR="00BA73BE" w:rsidRDefault="00BA73BE" w:rsidP="00D23696">
      <w:pPr>
        <w:pStyle w:val="IndentedText"/>
        <w:tabs>
          <w:tab w:val="clear" w:pos="1418"/>
        </w:tabs>
        <w:spacing w:after="0" w:line="360" w:lineRule="auto"/>
        <w:ind w:left="0" w:firstLine="0"/>
        <w:rPr>
          <w:color w:val="000000" w:themeColor="text1"/>
          <w:lang w:val="en-GB"/>
        </w:rPr>
      </w:pPr>
      <w:r>
        <w:rPr>
          <w:color w:val="000000" w:themeColor="text1"/>
          <w:lang w:val="en-GB"/>
        </w:rPr>
        <w:t>The monitoring process will include feedback from:</w:t>
      </w:r>
    </w:p>
    <w:p w14:paraId="26B22752" w14:textId="77777777" w:rsidR="00BA73BE" w:rsidRDefault="00BA73BE" w:rsidP="00D23696">
      <w:pPr>
        <w:pStyle w:val="IndentedText"/>
        <w:tabs>
          <w:tab w:val="clear" w:pos="1418"/>
        </w:tabs>
        <w:spacing w:after="0" w:line="360" w:lineRule="auto"/>
        <w:ind w:left="0" w:firstLine="0"/>
        <w:rPr>
          <w:color w:val="000000" w:themeColor="text1"/>
          <w:lang w:val="en-GB"/>
        </w:rPr>
      </w:pPr>
    </w:p>
    <w:p w14:paraId="1B9B3BAC" w14:textId="77777777" w:rsidR="00BA73BE" w:rsidRDefault="00BA73BE" w:rsidP="00BA73BE">
      <w:pPr>
        <w:pStyle w:val="Bullet1"/>
        <w:spacing w:after="0"/>
      </w:pPr>
      <w:r>
        <w:t>Transition Questionnaires</w:t>
      </w:r>
      <w:r w:rsidR="005C3CCA">
        <w:t xml:space="preserve"> and Destination tracking contact</w:t>
      </w:r>
      <w:r w:rsidR="004F2A5B">
        <w:t xml:space="preserve"> feedback;</w:t>
      </w:r>
    </w:p>
    <w:p w14:paraId="2D4D08E2" w14:textId="77777777" w:rsidR="00BA73BE" w:rsidRDefault="00BA73BE" w:rsidP="00BA73BE">
      <w:pPr>
        <w:pStyle w:val="Bullet1"/>
        <w:spacing w:after="0"/>
      </w:pPr>
      <w:r>
        <w:t xml:space="preserve">Annual </w:t>
      </w:r>
      <w:r w:rsidR="005C3CCA">
        <w:t>Learner, Parent and Stakeholder</w:t>
      </w:r>
      <w:r w:rsidR="00A919AB">
        <w:t xml:space="preserve"> Surveys</w:t>
      </w:r>
      <w:r w:rsidR="004F2A5B">
        <w:t>;</w:t>
      </w:r>
    </w:p>
    <w:p w14:paraId="7F5A7FF1" w14:textId="77777777" w:rsidR="00BA73BE" w:rsidRDefault="00A919AB" w:rsidP="00BA73BE">
      <w:pPr>
        <w:pStyle w:val="Bullet1"/>
        <w:spacing w:after="0"/>
      </w:pPr>
      <w:r>
        <w:t>Compliments</w:t>
      </w:r>
      <w:r w:rsidR="004F2A5B">
        <w:t xml:space="preserve"> and/or </w:t>
      </w:r>
      <w:r w:rsidR="00BA73BE">
        <w:t>Complaints</w:t>
      </w:r>
      <w:r w:rsidR="004F2A5B">
        <w:t>;</w:t>
      </w:r>
    </w:p>
    <w:p w14:paraId="4DEB4972" w14:textId="77777777" w:rsidR="00BA73BE" w:rsidRDefault="00BA73BE" w:rsidP="00BA73BE">
      <w:pPr>
        <w:pStyle w:val="Bullet1"/>
        <w:spacing w:after="0"/>
      </w:pPr>
      <w:r>
        <w:t>Feedback from Rev</w:t>
      </w:r>
      <w:r w:rsidR="00A919AB">
        <w:t>iew Meetings and/or discussions</w:t>
      </w:r>
      <w:r w:rsidR="004F2A5B">
        <w:t>.</w:t>
      </w:r>
    </w:p>
    <w:p w14:paraId="566D6EDB" w14:textId="77777777" w:rsidR="00BA73BE" w:rsidRDefault="00BA73BE" w:rsidP="00BA73BE">
      <w:pPr>
        <w:pStyle w:val="Bullet1"/>
        <w:numPr>
          <w:ilvl w:val="0"/>
          <w:numId w:val="0"/>
        </w:numPr>
        <w:spacing w:after="0"/>
        <w:ind w:left="340" w:hanging="340"/>
      </w:pPr>
    </w:p>
    <w:p w14:paraId="3F42BC99" w14:textId="77777777" w:rsidR="00BA73BE" w:rsidRDefault="00BA73BE" w:rsidP="00BA73BE">
      <w:pPr>
        <w:pStyle w:val="Bullet1"/>
        <w:numPr>
          <w:ilvl w:val="0"/>
          <w:numId w:val="0"/>
        </w:numPr>
        <w:spacing w:after="0"/>
      </w:pPr>
      <w:r>
        <w:t>The information and findings from these will be fed into the college self-assessment procedures and support continued quality assurance and improvement.</w:t>
      </w:r>
    </w:p>
    <w:p w14:paraId="7E4A08C7" w14:textId="77777777" w:rsidR="00A919AB" w:rsidRDefault="00A919AB" w:rsidP="00A919AB">
      <w:pPr>
        <w:rPr>
          <w:szCs w:val="24"/>
        </w:rPr>
      </w:pPr>
    </w:p>
    <w:p w14:paraId="793FBA44" w14:textId="77777777" w:rsidR="00A919AB" w:rsidRDefault="00A919AB" w:rsidP="00A919AB">
      <w:pPr>
        <w:rPr>
          <w:szCs w:val="24"/>
        </w:rPr>
      </w:pPr>
      <w:r>
        <w:rPr>
          <w:szCs w:val="24"/>
        </w:rPr>
        <w:lastRenderedPageBreak/>
        <w:t>This policy and procedure will be reviewed:</w:t>
      </w:r>
    </w:p>
    <w:p w14:paraId="1CD9CC33" w14:textId="77777777" w:rsidR="00A919AB" w:rsidRDefault="00A919AB" w:rsidP="00A919AB">
      <w:pPr>
        <w:rPr>
          <w:szCs w:val="24"/>
        </w:rPr>
      </w:pPr>
    </w:p>
    <w:p w14:paraId="6A7B7FFD" w14:textId="77777777" w:rsidR="00A919AB" w:rsidRDefault="00A919AB" w:rsidP="00A919AB">
      <w:pPr>
        <w:pStyle w:val="Bullet1"/>
        <w:spacing w:after="0"/>
      </w:pPr>
      <w:r>
        <w:t>As the need arises</w:t>
      </w:r>
    </w:p>
    <w:p w14:paraId="1EEA0758" w14:textId="77777777" w:rsidR="00A919AB" w:rsidRDefault="00A919AB" w:rsidP="00A919AB">
      <w:pPr>
        <w:pStyle w:val="Bullet1"/>
        <w:spacing w:after="0"/>
      </w:pPr>
      <w:r>
        <w:t>Following feedback on the documentation</w:t>
      </w:r>
    </w:p>
    <w:p w14:paraId="13288D2B" w14:textId="77777777" w:rsidR="00A919AB" w:rsidRPr="00D76D04" w:rsidRDefault="005C3CCA" w:rsidP="00A919AB">
      <w:pPr>
        <w:pStyle w:val="Bullet1"/>
        <w:spacing w:after="0"/>
      </w:pPr>
      <w:r>
        <w:t>Annually</w:t>
      </w:r>
    </w:p>
    <w:p w14:paraId="15BC6811" w14:textId="77777777" w:rsidR="00A919AB" w:rsidRDefault="00A919AB" w:rsidP="00A919AB">
      <w:pPr>
        <w:rPr>
          <w:szCs w:val="24"/>
        </w:rPr>
      </w:pPr>
    </w:p>
    <w:p w14:paraId="77F1058D" w14:textId="77777777" w:rsidR="002A1D93" w:rsidRDefault="002A1D93" w:rsidP="009D7813">
      <w:pPr>
        <w:pStyle w:val="Heading2"/>
        <w:spacing w:before="0" w:after="0" w:line="360" w:lineRule="auto"/>
        <w:rPr>
          <w:rFonts w:ascii="Arial" w:hAnsi="Arial"/>
          <w:color w:val="000000" w:themeColor="text1"/>
          <w:sz w:val="24"/>
        </w:rPr>
      </w:pPr>
    </w:p>
    <w:p w14:paraId="746EE6F5" w14:textId="77777777" w:rsidR="00A919AB" w:rsidRPr="00A919AB" w:rsidRDefault="00A919AB" w:rsidP="00A919AB"/>
    <w:p w14:paraId="5D9F4534" w14:textId="77777777" w:rsidR="002A1D93" w:rsidRPr="000F790B" w:rsidRDefault="002A1D93" w:rsidP="002A1D93">
      <w:pPr>
        <w:pStyle w:val="Heading3"/>
        <w:spacing w:before="0" w:line="360" w:lineRule="auto"/>
        <w:rPr>
          <w:color w:val="E57200" w:themeColor="accent2"/>
          <w:sz w:val="36"/>
        </w:rPr>
      </w:pPr>
      <w:r>
        <w:rPr>
          <w:color w:val="E57200" w:themeColor="accent2"/>
          <w:sz w:val="36"/>
        </w:rPr>
        <w:t>Conclusion</w:t>
      </w:r>
    </w:p>
    <w:p w14:paraId="422ED400" w14:textId="77777777" w:rsidR="00BA73BE" w:rsidRDefault="00BA73BE" w:rsidP="00477375">
      <w:pPr>
        <w:rPr>
          <w:szCs w:val="24"/>
        </w:rPr>
      </w:pPr>
    </w:p>
    <w:p w14:paraId="1987E45C" w14:textId="77777777" w:rsidR="002A1D93" w:rsidRDefault="00477375" w:rsidP="00477375">
      <w:pPr>
        <w:rPr>
          <w:szCs w:val="24"/>
        </w:rPr>
      </w:pPr>
      <w:r>
        <w:rPr>
          <w:szCs w:val="24"/>
        </w:rPr>
        <w:t>Sense College believes that an effective system of</w:t>
      </w:r>
      <w:r w:rsidR="00BF596A">
        <w:rPr>
          <w:szCs w:val="24"/>
        </w:rPr>
        <w:t xml:space="preserve"> </w:t>
      </w:r>
      <w:r w:rsidR="005C3CCA">
        <w:rPr>
          <w:szCs w:val="24"/>
        </w:rPr>
        <w:t>transitions</w:t>
      </w:r>
      <w:r>
        <w:rPr>
          <w:szCs w:val="24"/>
        </w:rPr>
        <w:t xml:space="preserve"> can significantly enhance the quality of </w:t>
      </w:r>
      <w:r w:rsidR="005C3CCA">
        <w:rPr>
          <w:szCs w:val="24"/>
        </w:rPr>
        <w:t xml:space="preserve">the learner’s journey and education </w:t>
      </w:r>
      <w:r>
        <w:rPr>
          <w:szCs w:val="24"/>
        </w:rPr>
        <w:t xml:space="preserve">provision by raising standards, increasing learner </w:t>
      </w:r>
      <w:r w:rsidR="005C3CCA">
        <w:rPr>
          <w:szCs w:val="24"/>
        </w:rPr>
        <w:t>knowledge and confidence,</w:t>
      </w:r>
      <w:r>
        <w:rPr>
          <w:szCs w:val="24"/>
        </w:rPr>
        <w:t xml:space="preserve"> </w:t>
      </w:r>
      <w:r w:rsidR="001665C7">
        <w:rPr>
          <w:szCs w:val="24"/>
        </w:rPr>
        <w:t xml:space="preserve">achieving learner’s destination outcomes and LTGs, </w:t>
      </w:r>
      <w:r w:rsidR="005C3CCA">
        <w:rPr>
          <w:szCs w:val="24"/>
        </w:rPr>
        <w:t>as well as</w:t>
      </w:r>
      <w:r>
        <w:rPr>
          <w:szCs w:val="24"/>
        </w:rPr>
        <w:t xml:space="preserve"> supporting staff to develop their practice.</w:t>
      </w:r>
    </w:p>
    <w:p w14:paraId="0D506788" w14:textId="77777777" w:rsidR="00477375" w:rsidRDefault="00477375" w:rsidP="00477375">
      <w:pPr>
        <w:rPr>
          <w:szCs w:val="24"/>
        </w:rPr>
      </w:pPr>
    </w:p>
    <w:p w14:paraId="60A0722B" w14:textId="77777777" w:rsidR="00BF596A" w:rsidRDefault="00BF596A" w:rsidP="008A5741">
      <w:pPr>
        <w:pStyle w:val="IndentedText"/>
        <w:tabs>
          <w:tab w:val="clear" w:pos="1418"/>
          <w:tab w:val="left" w:pos="0"/>
        </w:tabs>
        <w:spacing w:after="0" w:line="360" w:lineRule="auto"/>
        <w:ind w:left="0" w:firstLine="0"/>
        <w:jc w:val="both"/>
        <w:rPr>
          <w:rFonts w:cs="Arial"/>
          <w:szCs w:val="24"/>
          <w:lang w:val="en-GB"/>
        </w:rPr>
      </w:pPr>
    </w:p>
    <w:p w14:paraId="0648CA72" w14:textId="77777777" w:rsidR="00A919AB" w:rsidRDefault="00A919AB" w:rsidP="008A5741">
      <w:pPr>
        <w:pStyle w:val="IndentedText"/>
        <w:tabs>
          <w:tab w:val="clear" w:pos="1418"/>
          <w:tab w:val="left" w:pos="0"/>
        </w:tabs>
        <w:spacing w:after="0" w:line="360" w:lineRule="auto"/>
        <w:ind w:left="0" w:firstLine="0"/>
        <w:jc w:val="both"/>
        <w:rPr>
          <w:rFonts w:cs="Arial"/>
          <w:szCs w:val="24"/>
          <w:lang w:val="en-GB"/>
        </w:rPr>
      </w:pPr>
    </w:p>
    <w:p w14:paraId="318B1D54" w14:textId="77777777" w:rsidR="00A919AB" w:rsidRDefault="00A919AB" w:rsidP="008A5741">
      <w:pPr>
        <w:pStyle w:val="IndentedText"/>
        <w:tabs>
          <w:tab w:val="clear" w:pos="1418"/>
          <w:tab w:val="left" w:pos="0"/>
        </w:tabs>
        <w:spacing w:after="0" w:line="360" w:lineRule="auto"/>
        <w:ind w:left="0" w:firstLine="0"/>
        <w:jc w:val="both"/>
        <w:rPr>
          <w:rFonts w:cs="Arial"/>
          <w:szCs w:val="24"/>
          <w:lang w:val="en-GB"/>
        </w:rPr>
      </w:pPr>
    </w:p>
    <w:p w14:paraId="40F0F5E9" w14:textId="77777777" w:rsidR="00A919AB" w:rsidRPr="00D23696" w:rsidRDefault="00A919AB" w:rsidP="008A5741">
      <w:pPr>
        <w:pStyle w:val="IndentedText"/>
        <w:tabs>
          <w:tab w:val="clear" w:pos="1418"/>
          <w:tab w:val="left" w:pos="0"/>
        </w:tabs>
        <w:spacing w:after="0" w:line="360" w:lineRule="auto"/>
        <w:ind w:left="0" w:firstLine="0"/>
        <w:jc w:val="both"/>
        <w:rPr>
          <w:rFonts w:cs="Arial"/>
          <w:szCs w:val="24"/>
          <w:lang w:val="en-GB"/>
        </w:rPr>
      </w:pPr>
    </w:p>
    <w:p w14:paraId="7716AFAD" w14:textId="77777777" w:rsidR="0062103F" w:rsidRDefault="0062103F" w:rsidP="0062103F">
      <w:pPr>
        <w:pStyle w:val="IndentedText"/>
        <w:shd w:val="clear" w:color="auto" w:fill="A6A6A6" w:themeFill="background1" w:themeFillShade="A6"/>
        <w:tabs>
          <w:tab w:val="clear" w:pos="1418"/>
          <w:tab w:val="left" w:pos="0"/>
        </w:tabs>
        <w:spacing w:after="0" w:line="240" w:lineRule="auto"/>
        <w:ind w:left="0" w:right="7" w:firstLine="0"/>
        <w:rPr>
          <w:rFonts w:cs="Arial"/>
          <w:i/>
          <w:sz w:val="20"/>
          <w:lang w:val="en-GB"/>
        </w:rPr>
      </w:pPr>
      <w:r w:rsidRPr="0062103F">
        <w:rPr>
          <w:rFonts w:cs="Arial"/>
          <w:i/>
          <w:sz w:val="20"/>
          <w:lang w:val="en-GB"/>
        </w:rPr>
        <w:t>For Quality Assurance Use only:</w:t>
      </w:r>
    </w:p>
    <w:p w14:paraId="3C5E7D5A" w14:textId="77777777" w:rsidR="0062103F" w:rsidRPr="0062103F" w:rsidRDefault="0062103F" w:rsidP="0062103F">
      <w:pPr>
        <w:pStyle w:val="IndentedText"/>
        <w:shd w:val="clear" w:color="auto" w:fill="A6A6A6" w:themeFill="background1" w:themeFillShade="A6"/>
        <w:tabs>
          <w:tab w:val="clear" w:pos="1418"/>
          <w:tab w:val="left" w:pos="0"/>
        </w:tabs>
        <w:spacing w:after="0" w:line="240" w:lineRule="auto"/>
        <w:ind w:left="0" w:right="7" w:firstLine="0"/>
        <w:rPr>
          <w:rFonts w:cs="Arial"/>
          <w:i/>
          <w:sz w:val="20"/>
          <w:lang w:val="en-GB"/>
        </w:rPr>
      </w:pPr>
    </w:p>
    <w:tbl>
      <w:tblPr>
        <w:tblStyle w:val="TableGrid"/>
        <w:tblW w:w="9639" w:type="dxa"/>
        <w:tblInd w:w="108" w:type="dxa"/>
        <w:shd w:val="clear" w:color="auto" w:fill="A6A6A6" w:themeFill="background1" w:themeFillShade="A6"/>
        <w:tblLook w:val="04A0" w:firstRow="1" w:lastRow="0" w:firstColumn="1" w:lastColumn="0" w:noHBand="0" w:noVBand="1"/>
      </w:tblPr>
      <w:tblGrid>
        <w:gridCol w:w="1985"/>
        <w:gridCol w:w="7654"/>
      </w:tblGrid>
      <w:tr w:rsidR="0062103F" w:rsidRPr="0062103F" w14:paraId="76520671" w14:textId="77777777" w:rsidTr="0062103F">
        <w:tc>
          <w:tcPr>
            <w:tcW w:w="1985" w:type="dxa"/>
            <w:shd w:val="clear" w:color="auto" w:fill="A6A6A6" w:themeFill="background1" w:themeFillShade="A6"/>
          </w:tcPr>
          <w:p w14:paraId="0FFBC921" w14:textId="77777777" w:rsidR="0062103F" w:rsidRPr="0062103F" w:rsidRDefault="0062103F" w:rsidP="0062103F">
            <w:pPr>
              <w:pStyle w:val="IndentedText"/>
              <w:tabs>
                <w:tab w:val="clear" w:pos="1418"/>
                <w:tab w:val="left" w:pos="0"/>
              </w:tabs>
              <w:spacing w:after="0" w:line="240" w:lineRule="auto"/>
              <w:ind w:left="0" w:firstLine="0"/>
              <w:rPr>
                <w:rFonts w:cs="Arial"/>
                <w:i/>
                <w:sz w:val="20"/>
                <w:lang w:val="en-GB"/>
              </w:rPr>
            </w:pPr>
            <w:r w:rsidRPr="0062103F">
              <w:rPr>
                <w:rFonts w:cs="Arial"/>
                <w:i/>
                <w:sz w:val="20"/>
                <w:lang w:val="en-GB"/>
              </w:rPr>
              <w:t>Policy/Procedure:</w:t>
            </w:r>
          </w:p>
        </w:tc>
        <w:tc>
          <w:tcPr>
            <w:tcW w:w="7654" w:type="dxa"/>
            <w:shd w:val="clear" w:color="auto" w:fill="A6A6A6" w:themeFill="background1" w:themeFillShade="A6"/>
          </w:tcPr>
          <w:p w14:paraId="495FABE3" w14:textId="77777777" w:rsidR="0062103F" w:rsidRPr="0062103F" w:rsidRDefault="0062103F" w:rsidP="007E007B">
            <w:pPr>
              <w:pStyle w:val="IndentedText"/>
              <w:tabs>
                <w:tab w:val="clear" w:pos="1418"/>
                <w:tab w:val="left" w:pos="0"/>
              </w:tabs>
              <w:spacing w:after="0" w:line="240" w:lineRule="auto"/>
              <w:ind w:left="0" w:firstLine="0"/>
              <w:rPr>
                <w:rFonts w:cs="Arial"/>
                <w:b/>
                <w:sz w:val="20"/>
                <w:lang w:val="en-GB"/>
              </w:rPr>
            </w:pPr>
            <w:r w:rsidRPr="0062103F">
              <w:rPr>
                <w:rFonts w:cs="Arial"/>
                <w:b/>
                <w:sz w:val="20"/>
                <w:lang w:val="en-GB"/>
              </w:rPr>
              <w:t xml:space="preserve">Sense College </w:t>
            </w:r>
            <w:r w:rsidR="004F2A5B">
              <w:rPr>
                <w:rFonts w:cs="Arial"/>
                <w:b/>
                <w:sz w:val="20"/>
                <w:lang w:val="en-GB"/>
              </w:rPr>
              <w:t>Transitions</w:t>
            </w:r>
            <w:r w:rsidR="00A919AB">
              <w:rPr>
                <w:rFonts w:cs="Arial"/>
                <w:b/>
                <w:sz w:val="20"/>
                <w:lang w:val="en-GB"/>
              </w:rPr>
              <w:t xml:space="preserve"> Strategy</w:t>
            </w:r>
            <w:r w:rsidR="00D23696">
              <w:rPr>
                <w:rFonts w:cs="Arial"/>
                <w:b/>
                <w:sz w:val="20"/>
                <w:lang w:val="en-GB"/>
              </w:rPr>
              <w:t xml:space="preserve"> V0</w:t>
            </w:r>
            <w:r w:rsidR="007E007B">
              <w:rPr>
                <w:rFonts w:cs="Arial"/>
                <w:b/>
                <w:sz w:val="20"/>
                <w:lang w:val="en-GB"/>
              </w:rPr>
              <w:t>9</w:t>
            </w:r>
          </w:p>
        </w:tc>
      </w:tr>
      <w:tr w:rsidR="0062103F" w:rsidRPr="0062103F" w14:paraId="355456DD" w14:textId="77777777" w:rsidTr="0062103F">
        <w:tc>
          <w:tcPr>
            <w:tcW w:w="1985" w:type="dxa"/>
            <w:shd w:val="clear" w:color="auto" w:fill="A6A6A6" w:themeFill="background1" w:themeFillShade="A6"/>
          </w:tcPr>
          <w:p w14:paraId="43CE1B3B" w14:textId="77777777" w:rsidR="0062103F" w:rsidRPr="0062103F" w:rsidRDefault="0062103F" w:rsidP="0062103F">
            <w:pPr>
              <w:pStyle w:val="IndentedText"/>
              <w:tabs>
                <w:tab w:val="clear" w:pos="1418"/>
                <w:tab w:val="left" w:pos="0"/>
              </w:tabs>
              <w:spacing w:after="0" w:line="240" w:lineRule="auto"/>
              <w:ind w:left="0" w:firstLine="0"/>
              <w:rPr>
                <w:rFonts w:cs="Arial"/>
                <w:i/>
                <w:sz w:val="20"/>
                <w:lang w:val="en-GB"/>
              </w:rPr>
            </w:pPr>
            <w:r w:rsidRPr="0062103F">
              <w:rPr>
                <w:rFonts w:cs="Arial"/>
                <w:i/>
                <w:sz w:val="20"/>
                <w:lang w:val="en-GB"/>
              </w:rPr>
              <w:t>Author:</w:t>
            </w:r>
          </w:p>
        </w:tc>
        <w:tc>
          <w:tcPr>
            <w:tcW w:w="7654" w:type="dxa"/>
            <w:shd w:val="clear" w:color="auto" w:fill="A6A6A6" w:themeFill="background1" w:themeFillShade="A6"/>
          </w:tcPr>
          <w:p w14:paraId="54F77BC7" w14:textId="77777777" w:rsidR="0062103F" w:rsidRPr="0062103F" w:rsidRDefault="0062103F" w:rsidP="0062103F">
            <w:pPr>
              <w:pStyle w:val="IndentedText"/>
              <w:tabs>
                <w:tab w:val="clear" w:pos="1418"/>
                <w:tab w:val="left" w:pos="0"/>
              </w:tabs>
              <w:spacing w:after="0" w:line="240" w:lineRule="auto"/>
              <w:ind w:left="0" w:firstLine="0"/>
              <w:rPr>
                <w:rFonts w:cs="Arial"/>
                <w:b/>
                <w:sz w:val="20"/>
                <w:lang w:val="en-GB"/>
              </w:rPr>
            </w:pPr>
            <w:r w:rsidRPr="0062103F">
              <w:rPr>
                <w:rFonts w:cs="Arial"/>
                <w:b/>
                <w:sz w:val="20"/>
                <w:lang w:val="en-GB"/>
              </w:rPr>
              <w:t>Gary Hyndman, Head of College</w:t>
            </w:r>
            <w:r w:rsidR="00A919AB">
              <w:rPr>
                <w:rFonts w:cs="Arial"/>
                <w:b/>
                <w:sz w:val="20"/>
                <w:lang w:val="en-GB"/>
              </w:rPr>
              <w:t xml:space="preserve"> &amp; </w:t>
            </w:r>
            <w:r w:rsidR="00A919AB" w:rsidRPr="0062103F">
              <w:rPr>
                <w:rFonts w:cs="Arial"/>
                <w:b/>
                <w:sz w:val="20"/>
                <w:lang w:val="en-GB"/>
              </w:rPr>
              <w:t>Lynne Kendall, Head of Performance Management and College Improvement</w:t>
            </w:r>
          </w:p>
        </w:tc>
      </w:tr>
      <w:tr w:rsidR="0062103F" w:rsidRPr="0062103F" w14:paraId="410DB7B5" w14:textId="77777777" w:rsidTr="0062103F">
        <w:tc>
          <w:tcPr>
            <w:tcW w:w="1985" w:type="dxa"/>
            <w:shd w:val="clear" w:color="auto" w:fill="A6A6A6" w:themeFill="background1" w:themeFillShade="A6"/>
          </w:tcPr>
          <w:p w14:paraId="7F952064" w14:textId="77777777" w:rsidR="0062103F" w:rsidRPr="0062103F" w:rsidRDefault="0062103F" w:rsidP="0062103F">
            <w:pPr>
              <w:pStyle w:val="IndentedText"/>
              <w:tabs>
                <w:tab w:val="clear" w:pos="1418"/>
                <w:tab w:val="left" w:pos="0"/>
              </w:tabs>
              <w:spacing w:after="0" w:line="240" w:lineRule="auto"/>
              <w:ind w:left="0" w:firstLine="0"/>
              <w:rPr>
                <w:rFonts w:cs="Arial"/>
                <w:i/>
                <w:sz w:val="20"/>
                <w:lang w:val="en-GB"/>
              </w:rPr>
            </w:pPr>
            <w:r w:rsidRPr="0062103F">
              <w:rPr>
                <w:rFonts w:cs="Arial"/>
                <w:i/>
                <w:sz w:val="20"/>
                <w:lang w:val="en-GB"/>
              </w:rPr>
              <w:t>Quality Control:</w:t>
            </w:r>
          </w:p>
        </w:tc>
        <w:tc>
          <w:tcPr>
            <w:tcW w:w="7654" w:type="dxa"/>
            <w:shd w:val="clear" w:color="auto" w:fill="A6A6A6" w:themeFill="background1" w:themeFillShade="A6"/>
          </w:tcPr>
          <w:p w14:paraId="1708A0CE" w14:textId="77777777" w:rsidR="0062103F" w:rsidRPr="0062103F" w:rsidRDefault="0062103F" w:rsidP="0062103F">
            <w:pPr>
              <w:pStyle w:val="IndentedText"/>
              <w:tabs>
                <w:tab w:val="clear" w:pos="1418"/>
                <w:tab w:val="left" w:pos="0"/>
              </w:tabs>
              <w:spacing w:after="0" w:line="240" w:lineRule="auto"/>
              <w:ind w:left="0" w:firstLine="0"/>
              <w:rPr>
                <w:rFonts w:cs="Arial"/>
                <w:b/>
                <w:sz w:val="20"/>
                <w:lang w:val="en-GB"/>
              </w:rPr>
            </w:pPr>
            <w:r w:rsidRPr="0062103F">
              <w:rPr>
                <w:rFonts w:cs="Arial"/>
                <w:b/>
                <w:sz w:val="20"/>
                <w:lang w:val="en-GB"/>
              </w:rPr>
              <w:t>Lynne Kendall, Head of Performance Management and College Improvement</w:t>
            </w:r>
          </w:p>
        </w:tc>
      </w:tr>
      <w:tr w:rsidR="0062103F" w:rsidRPr="0062103F" w14:paraId="7426C5C2" w14:textId="77777777" w:rsidTr="0062103F">
        <w:tc>
          <w:tcPr>
            <w:tcW w:w="1985" w:type="dxa"/>
            <w:shd w:val="clear" w:color="auto" w:fill="A6A6A6" w:themeFill="background1" w:themeFillShade="A6"/>
          </w:tcPr>
          <w:p w14:paraId="464D6F6C" w14:textId="77777777" w:rsidR="0062103F" w:rsidRPr="0062103F" w:rsidRDefault="0062103F" w:rsidP="0062103F">
            <w:pPr>
              <w:pStyle w:val="IndentedText"/>
              <w:tabs>
                <w:tab w:val="clear" w:pos="1418"/>
                <w:tab w:val="left" w:pos="0"/>
              </w:tabs>
              <w:spacing w:after="0" w:line="240" w:lineRule="auto"/>
              <w:ind w:left="0" w:firstLine="0"/>
              <w:rPr>
                <w:rFonts w:cs="Arial"/>
                <w:i/>
                <w:sz w:val="20"/>
                <w:lang w:val="en-GB"/>
              </w:rPr>
            </w:pPr>
            <w:r w:rsidRPr="0062103F">
              <w:rPr>
                <w:rFonts w:cs="Arial"/>
                <w:i/>
                <w:sz w:val="20"/>
                <w:lang w:val="en-GB"/>
              </w:rPr>
              <w:t>Date Live:</w:t>
            </w:r>
          </w:p>
        </w:tc>
        <w:tc>
          <w:tcPr>
            <w:tcW w:w="7654" w:type="dxa"/>
            <w:shd w:val="clear" w:color="auto" w:fill="A6A6A6" w:themeFill="background1" w:themeFillShade="A6"/>
          </w:tcPr>
          <w:p w14:paraId="23B865D1" w14:textId="77777777" w:rsidR="0062103F" w:rsidRPr="0062103F" w:rsidRDefault="00E135EE" w:rsidP="007E007B">
            <w:pPr>
              <w:pStyle w:val="IndentedText"/>
              <w:tabs>
                <w:tab w:val="clear" w:pos="1418"/>
                <w:tab w:val="left" w:pos="0"/>
              </w:tabs>
              <w:spacing w:after="0" w:line="240" w:lineRule="auto"/>
              <w:ind w:left="0" w:firstLine="0"/>
              <w:rPr>
                <w:rFonts w:cs="Arial"/>
                <w:b/>
                <w:sz w:val="20"/>
                <w:lang w:val="en-GB"/>
              </w:rPr>
            </w:pPr>
            <w:r>
              <w:rPr>
                <w:rFonts w:cs="Arial"/>
                <w:b/>
                <w:sz w:val="20"/>
                <w:lang w:val="en-GB"/>
              </w:rPr>
              <w:t>August</w:t>
            </w:r>
            <w:r w:rsidR="002110D3">
              <w:rPr>
                <w:rFonts w:cs="Arial"/>
                <w:b/>
                <w:sz w:val="20"/>
                <w:lang w:val="en-GB"/>
              </w:rPr>
              <w:t xml:space="preserve"> 20</w:t>
            </w:r>
            <w:r w:rsidR="00683FBD">
              <w:rPr>
                <w:rFonts w:cs="Arial"/>
                <w:b/>
                <w:sz w:val="20"/>
                <w:lang w:val="en-GB"/>
              </w:rPr>
              <w:t>2</w:t>
            </w:r>
            <w:r w:rsidR="007E007B">
              <w:rPr>
                <w:rFonts w:cs="Arial"/>
                <w:b/>
                <w:sz w:val="20"/>
                <w:lang w:val="en-GB"/>
              </w:rPr>
              <w:t>1</w:t>
            </w:r>
          </w:p>
        </w:tc>
      </w:tr>
      <w:tr w:rsidR="0062103F" w:rsidRPr="0062103F" w14:paraId="28735D0D" w14:textId="77777777" w:rsidTr="0062103F">
        <w:tc>
          <w:tcPr>
            <w:tcW w:w="1985" w:type="dxa"/>
            <w:shd w:val="clear" w:color="auto" w:fill="A6A6A6" w:themeFill="background1" w:themeFillShade="A6"/>
          </w:tcPr>
          <w:p w14:paraId="0E7DA495" w14:textId="77777777" w:rsidR="0062103F" w:rsidRPr="0062103F" w:rsidRDefault="0062103F" w:rsidP="0062103F">
            <w:pPr>
              <w:pStyle w:val="IndentedText"/>
              <w:tabs>
                <w:tab w:val="clear" w:pos="1418"/>
                <w:tab w:val="left" w:pos="0"/>
              </w:tabs>
              <w:spacing w:after="0" w:line="240" w:lineRule="auto"/>
              <w:ind w:left="0" w:firstLine="0"/>
              <w:rPr>
                <w:rFonts w:cs="Arial"/>
                <w:i/>
                <w:sz w:val="20"/>
                <w:lang w:val="en-GB"/>
              </w:rPr>
            </w:pPr>
            <w:r w:rsidRPr="0062103F">
              <w:rPr>
                <w:rFonts w:cs="Arial"/>
                <w:i/>
                <w:sz w:val="20"/>
                <w:lang w:val="en-GB"/>
              </w:rPr>
              <w:t>Review Due:</w:t>
            </w:r>
          </w:p>
        </w:tc>
        <w:tc>
          <w:tcPr>
            <w:tcW w:w="7654" w:type="dxa"/>
            <w:shd w:val="clear" w:color="auto" w:fill="A6A6A6" w:themeFill="background1" w:themeFillShade="A6"/>
          </w:tcPr>
          <w:p w14:paraId="051F9A69" w14:textId="77777777" w:rsidR="0062103F" w:rsidRPr="0062103F" w:rsidRDefault="00A919AB" w:rsidP="007E007B">
            <w:pPr>
              <w:pStyle w:val="IndentedText"/>
              <w:tabs>
                <w:tab w:val="clear" w:pos="1418"/>
                <w:tab w:val="left" w:pos="0"/>
              </w:tabs>
              <w:spacing w:after="0" w:line="240" w:lineRule="auto"/>
              <w:ind w:left="0" w:firstLine="0"/>
              <w:rPr>
                <w:rFonts w:cs="Arial"/>
                <w:b/>
                <w:sz w:val="20"/>
                <w:lang w:val="en-GB"/>
              </w:rPr>
            </w:pPr>
            <w:r>
              <w:rPr>
                <w:rFonts w:cs="Arial"/>
                <w:b/>
                <w:sz w:val="20"/>
                <w:lang w:val="en-GB"/>
              </w:rPr>
              <w:t>August</w:t>
            </w:r>
            <w:r w:rsidR="0062103F" w:rsidRPr="0062103F">
              <w:rPr>
                <w:rFonts w:cs="Arial"/>
                <w:b/>
                <w:sz w:val="20"/>
                <w:lang w:val="en-GB"/>
              </w:rPr>
              <w:t xml:space="preserve"> 20</w:t>
            </w:r>
            <w:r w:rsidR="002110D3">
              <w:rPr>
                <w:rFonts w:cs="Arial"/>
                <w:b/>
                <w:sz w:val="20"/>
                <w:lang w:val="en-GB"/>
              </w:rPr>
              <w:t>2</w:t>
            </w:r>
            <w:r w:rsidR="007E007B">
              <w:rPr>
                <w:rFonts w:cs="Arial"/>
                <w:b/>
                <w:sz w:val="20"/>
                <w:lang w:val="en-GB"/>
              </w:rPr>
              <w:t>2</w:t>
            </w:r>
          </w:p>
        </w:tc>
      </w:tr>
    </w:tbl>
    <w:p w14:paraId="6CC58A52" w14:textId="77777777" w:rsidR="0062103F" w:rsidRPr="0062103F" w:rsidRDefault="0062103F" w:rsidP="0062103F">
      <w:pPr>
        <w:pStyle w:val="IndentedText"/>
        <w:shd w:val="clear" w:color="auto" w:fill="A6A6A6" w:themeFill="background1" w:themeFillShade="A6"/>
        <w:tabs>
          <w:tab w:val="clear" w:pos="1418"/>
          <w:tab w:val="left" w:pos="0"/>
        </w:tabs>
        <w:spacing w:after="0" w:line="240" w:lineRule="auto"/>
        <w:ind w:left="0" w:right="-1" w:firstLine="0"/>
        <w:rPr>
          <w:rFonts w:cs="Arial"/>
          <w:i/>
          <w:sz w:val="20"/>
          <w:lang w:val="en-GB"/>
        </w:rPr>
      </w:pPr>
    </w:p>
    <w:sectPr w:rsidR="0062103F" w:rsidRPr="0062103F" w:rsidSect="002110D3">
      <w:headerReference w:type="default" r:id="rId19"/>
      <w:footerReference w:type="default" r:id="rId20"/>
      <w:pgSz w:w="11906" w:h="16838" w:code="9"/>
      <w:pgMar w:top="1520" w:right="1134" w:bottom="1560" w:left="1134" w:header="851" w:footer="646" w:gutter="0"/>
      <w:cols w:space="708"/>
      <w:titlePg/>
      <w:docGrid w:linePitch="8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CA176" w14:textId="77777777" w:rsidR="00695F23" w:rsidRDefault="00695F23" w:rsidP="0000661D">
      <w:pPr>
        <w:spacing w:line="240" w:lineRule="auto"/>
      </w:pPr>
      <w:r>
        <w:separator/>
      </w:r>
    </w:p>
    <w:p w14:paraId="230AEAE2" w14:textId="77777777" w:rsidR="00695F23" w:rsidRDefault="00695F23"/>
  </w:endnote>
  <w:endnote w:type="continuationSeparator" w:id="0">
    <w:p w14:paraId="11459422" w14:textId="77777777" w:rsidR="00695F23" w:rsidRDefault="00695F23" w:rsidP="0000661D">
      <w:pPr>
        <w:spacing w:line="240" w:lineRule="auto"/>
      </w:pPr>
      <w:r>
        <w:continuationSeparator/>
      </w:r>
    </w:p>
    <w:p w14:paraId="3550979F" w14:textId="77777777" w:rsidR="00695F23" w:rsidRDefault="00695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Clear"/>
      <w:tblW w:w="5222" w:type="pct"/>
      <w:tblLayout w:type="fixed"/>
      <w:tblCellMar>
        <w:left w:w="0" w:type="dxa"/>
        <w:right w:w="0" w:type="dxa"/>
      </w:tblCellMar>
      <w:tblLook w:val="04A0" w:firstRow="1" w:lastRow="0" w:firstColumn="1" w:lastColumn="0" w:noHBand="0" w:noVBand="1"/>
    </w:tblPr>
    <w:tblGrid>
      <w:gridCol w:w="6097"/>
      <w:gridCol w:w="3969"/>
    </w:tblGrid>
    <w:tr w:rsidR="004C3915" w14:paraId="7C39CD5E" w14:textId="77777777" w:rsidTr="00BC39FD">
      <w:trPr>
        <w:cantSplit/>
      </w:trPr>
      <w:tc>
        <w:tcPr>
          <w:tcW w:w="6096" w:type="dxa"/>
        </w:tcPr>
        <w:p w14:paraId="06D2651A" w14:textId="77777777" w:rsidR="004C3915" w:rsidRPr="00765D2D" w:rsidRDefault="004C3915" w:rsidP="00765D2D">
          <w:pPr>
            <w:pStyle w:val="Footer"/>
            <w:ind w:right="360"/>
            <w:rPr>
              <w:color w:val="auto"/>
              <w:sz w:val="16"/>
              <w:szCs w:val="16"/>
            </w:rPr>
          </w:pPr>
          <w:r>
            <w:rPr>
              <w:color w:val="auto"/>
              <w:sz w:val="16"/>
              <w:szCs w:val="16"/>
            </w:rPr>
            <w:t>Sense College – Transitions Strategy</w:t>
          </w:r>
          <w:r w:rsidRPr="00765D2D">
            <w:rPr>
              <w:color w:val="auto"/>
              <w:sz w:val="16"/>
              <w:szCs w:val="16"/>
            </w:rPr>
            <w:t xml:space="preserve"> </w:t>
          </w:r>
        </w:p>
        <w:p w14:paraId="507D444D" w14:textId="0BF528A3" w:rsidR="004C3915" w:rsidRPr="004E7C9A" w:rsidRDefault="004C3915" w:rsidP="007E007B">
          <w:pPr>
            <w:pStyle w:val="Footer"/>
            <w:rPr>
              <w:color w:val="auto"/>
              <w:sz w:val="16"/>
              <w:szCs w:val="16"/>
            </w:rPr>
          </w:pPr>
          <w:r>
            <w:rPr>
              <w:color w:val="auto"/>
              <w:sz w:val="16"/>
              <w:szCs w:val="16"/>
            </w:rPr>
            <w:t>June2011/V0</w:t>
          </w:r>
          <w:r w:rsidR="007E007B">
            <w:rPr>
              <w:color w:val="auto"/>
              <w:sz w:val="16"/>
              <w:szCs w:val="16"/>
            </w:rPr>
            <w:t>9</w:t>
          </w:r>
          <w:r>
            <w:rPr>
              <w:color w:val="auto"/>
              <w:sz w:val="16"/>
              <w:szCs w:val="16"/>
            </w:rPr>
            <w:t xml:space="preserve">/ </w:t>
          </w:r>
          <w:r w:rsidR="00015B11">
            <w:rPr>
              <w:color w:val="auto"/>
              <w:sz w:val="16"/>
              <w:szCs w:val="16"/>
            </w:rPr>
            <w:t>August</w:t>
          </w:r>
          <w:r w:rsidR="00D770F8">
            <w:rPr>
              <w:color w:val="auto"/>
              <w:sz w:val="16"/>
              <w:szCs w:val="16"/>
            </w:rPr>
            <w:t xml:space="preserve"> </w:t>
          </w:r>
          <w:r w:rsidR="00683FBD">
            <w:rPr>
              <w:color w:val="auto"/>
              <w:sz w:val="16"/>
              <w:szCs w:val="16"/>
            </w:rPr>
            <w:t>202</w:t>
          </w:r>
          <w:r w:rsidR="007E007B">
            <w:rPr>
              <w:color w:val="auto"/>
              <w:sz w:val="16"/>
              <w:szCs w:val="16"/>
            </w:rPr>
            <w:t>1</w:t>
          </w:r>
          <w:r w:rsidRPr="00E83C7D">
            <w:fldChar w:fldCharType="begin"/>
          </w:r>
          <w:r w:rsidRPr="00E83C7D">
            <w:instrText xml:space="preserve"> IF </w:instrText>
          </w:r>
          <w:r>
            <w:instrText>"</w:instrText>
          </w:r>
          <w:r>
            <w:fldChar w:fldCharType="begin"/>
          </w:r>
          <w:r>
            <w:instrText xml:space="preserve"> STYLEREF  ~DocDate  </w:instrText>
          </w:r>
          <w:r>
            <w:rPr>
              <w:noProof/>
            </w:rPr>
            <w:fldChar w:fldCharType="end"/>
          </w:r>
          <w:r>
            <w:rPr>
              <w:noProof/>
            </w:rPr>
            <w:instrText>"</w:instrText>
          </w:r>
          <w:r w:rsidRPr="00E83C7D">
            <w:instrText xml:space="preserve"> = "</w:instrText>
          </w:r>
          <w:r>
            <w:instrText>Error*</w:instrText>
          </w:r>
          <w:r w:rsidRPr="00E83C7D">
            <w:instrText>" "" "</w:instrText>
          </w:r>
          <w:r>
            <w:fldChar w:fldCharType="begin"/>
          </w:r>
          <w:r>
            <w:instrText xml:space="preserve"> STYLEREF  ~DocDate  </w:instrText>
          </w:r>
          <w:r>
            <w:rPr>
              <w:noProof/>
            </w:rPr>
            <w:fldChar w:fldCharType="end"/>
          </w:r>
          <w:r w:rsidRPr="00E83C7D">
            <w:instrText xml:space="preserve">" </w:instrText>
          </w:r>
          <w:r w:rsidRPr="00E83C7D">
            <w:fldChar w:fldCharType="end"/>
          </w:r>
        </w:p>
      </w:tc>
      <w:tc>
        <w:tcPr>
          <w:tcW w:w="3969" w:type="dxa"/>
        </w:tcPr>
        <w:p w14:paraId="70B21E1A" w14:textId="77777777" w:rsidR="004C3915" w:rsidRDefault="004C3915" w:rsidP="004E7C9A">
          <w:pPr>
            <w:pStyle w:val="Footer"/>
            <w:tabs>
              <w:tab w:val="right" w:pos="4819"/>
              <w:tab w:val="right" w:pos="9638"/>
            </w:tabs>
            <w:ind w:left="2125"/>
          </w:pPr>
          <w:r>
            <w:t xml:space="preserve">Page </w:t>
          </w:r>
          <w:r w:rsidRPr="00222B70">
            <w:rPr>
              <w:b/>
            </w:rPr>
            <w:fldChar w:fldCharType="begin"/>
          </w:r>
          <w:r w:rsidRPr="00222B70">
            <w:rPr>
              <w:b/>
            </w:rPr>
            <w:instrText xml:space="preserve"> PAGE   \* MERGEFORMAT </w:instrText>
          </w:r>
          <w:r w:rsidRPr="00222B70">
            <w:rPr>
              <w:b/>
            </w:rPr>
            <w:fldChar w:fldCharType="separate"/>
          </w:r>
          <w:r w:rsidR="007E007B">
            <w:rPr>
              <w:b/>
              <w:noProof/>
            </w:rPr>
            <w:t>2</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7E007B">
            <w:rPr>
              <w:b/>
              <w:noProof/>
            </w:rPr>
            <w:t>18</w:t>
          </w:r>
          <w:r w:rsidRPr="00222B70">
            <w:rPr>
              <w:b/>
              <w:noProof/>
            </w:rPr>
            <w:fldChar w:fldCharType="end"/>
          </w:r>
        </w:p>
      </w:tc>
    </w:tr>
  </w:tbl>
  <w:p w14:paraId="50888E27" w14:textId="77777777" w:rsidR="004C3915" w:rsidRPr="007759B2" w:rsidRDefault="004C3915" w:rsidP="00A00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18EB64" w14:textId="77777777" w:rsidR="00695F23" w:rsidRPr="00C214E1" w:rsidRDefault="00695F23" w:rsidP="00C214E1">
      <w:pPr>
        <w:pStyle w:val="NoSpacing"/>
        <w:rPr>
          <w:color w:val="888B8D" w:themeColor="text2"/>
        </w:rPr>
      </w:pPr>
      <w:r w:rsidRPr="00C214E1">
        <w:rPr>
          <w:color w:val="888B8D" w:themeColor="text2"/>
        </w:rPr>
        <w:separator/>
      </w:r>
    </w:p>
  </w:footnote>
  <w:footnote w:type="continuationSeparator" w:id="0">
    <w:p w14:paraId="2276D624" w14:textId="77777777" w:rsidR="00695F23" w:rsidRPr="00C214E1" w:rsidRDefault="00695F23" w:rsidP="00C214E1">
      <w:pPr>
        <w:pStyle w:val="NoSpacing"/>
        <w:rPr>
          <w:color w:val="888B8D" w:themeColor="text2"/>
        </w:rPr>
      </w:pPr>
      <w:r w:rsidRPr="00C214E1">
        <w:rPr>
          <w:color w:val="888B8D" w:themeColor="text2"/>
        </w:rPr>
        <w:continuationSeparator/>
      </w:r>
    </w:p>
  </w:footnote>
  <w:footnote w:id="1">
    <w:p w14:paraId="7E776C30" w14:textId="77777777" w:rsidR="004C3915" w:rsidRPr="009D73F2" w:rsidRDefault="004C3915" w:rsidP="00B7565E">
      <w:pPr>
        <w:pStyle w:val="FootnoteText"/>
        <w:rPr>
          <w:rFonts w:ascii="Arial" w:hAnsi="Arial"/>
          <w:color w:val="auto"/>
          <w:sz w:val="22"/>
          <w:szCs w:val="22"/>
        </w:rPr>
      </w:pPr>
      <w:r w:rsidRPr="0092096B">
        <w:rPr>
          <w:rStyle w:val="FootnoteReference"/>
          <w:rFonts w:ascii="Arial" w:hAnsi="Arial"/>
          <w:color w:val="auto"/>
          <w:sz w:val="24"/>
        </w:rPr>
        <w:footnoteRef/>
      </w:r>
      <w:r w:rsidRPr="0092096B">
        <w:rPr>
          <w:rFonts w:ascii="Arial" w:hAnsi="Arial"/>
          <w:color w:val="auto"/>
          <w:sz w:val="24"/>
        </w:rPr>
        <w:t xml:space="preserve"> </w:t>
      </w:r>
      <w:r>
        <w:rPr>
          <w:rFonts w:ascii="Arial" w:hAnsi="Arial"/>
          <w:color w:val="auto"/>
          <w:sz w:val="24"/>
        </w:rPr>
        <w:t>•</w:t>
      </w:r>
      <w:r>
        <w:rPr>
          <w:rFonts w:ascii="Arial" w:hAnsi="Arial"/>
          <w:color w:val="auto"/>
          <w:sz w:val="24"/>
        </w:rPr>
        <w:tab/>
        <w:t xml:space="preserve">Throughout this document, in the context of the strategy, the term ‘parent(s)’ is inclusive of parents, carers and/or family members who act as next of kin and guardian to the individual/learner and who provides daily support/advocacy.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C02F4" w14:textId="77777777" w:rsidR="004C3915" w:rsidRDefault="004C3915" w:rsidP="004E7C9A">
    <w:pPr>
      <w:pStyle w:val="Header"/>
      <w:jc w:val="right"/>
    </w:pPr>
    <w:r w:rsidRPr="00C53DA0">
      <w:rPr>
        <w:noProof/>
        <w:lang w:eastAsia="en-GB"/>
      </w:rPr>
      <w:drawing>
        <wp:inline distT="0" distB="0" distL="0" distR="0" wp14:anchorId="3185BF01" wp14:editId="72FD6778">
          <wp:extent cx="717033" cy="308610"/>
          <wp:effectExtent l="0" t="0" r="0" b="0"/>
          <wp:docPr id="11"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00AA208"/>
    <w:lvl w:ilvl="0">
      <w:start w:val="1"/>
      <w:numFmt w:val="bullet"/>
      <w:pStyle w:val="ListBullet"/>
      <w:lvlText w:val=""/>
      <w:lvlJc w:val="left"/>
      <w:pPr>
        <w:tabs>
          <w:tab w:val="num" w:pos="360"/>
        </w:tabs>
        <w:ind w:left="360" w:hanging="360"/>
      </w:pPr>
      <w:rPr>
        <w:rFonts w:ascii="Symbol" w:hAnsi="Symbol" w:hint="default"/>
        <w:color w:val="E37222"/>
        <w:sz w:val="32"/>
      </w:rPr>
    </w:lvl>
  </w:abstractNum>
  <w:abstractNum w:abstractNumId="1" w15:restartNumberingAfterBreak="0">
    <w:nsid w:val="0CF9612F"/>
    <w:multiLevelType w:val="hybridMultilevel"/>
    <w:tmpl w:val="0596B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B22EE"/>
    <w:multiLevelType w:val="hybridMultilevel"/>
    <w:tmpl w:val="9C620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D422B"/>
    <w:multiLevelType w:val="hybridMultilevel"/>
    <w:tmpl w:val="1D6C018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C057806"/>
    <w:multiLevelType w:val="hybridMultilevel"/>
    <w:tmpl w:val="BBFAF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2280F"/>
    <w:multiLevelType w:val="hybridMultilevel"/>
    <w:tmpl w:val="1C02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A91508A"/>
    <w:multiLevelType w:val="hybridMultilevel"/>
    <w:tmpl w:val="E92E2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D20263"/>
    <w:multiLevelType w:val="hybridMultilevel"/>
    <w:tmpl w:val="9B5E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6A6608B"/>
    <w:multiLevelType w:val="hybridMultilevel"/>
    <w:tmpl w:val="1450B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3" w15:restartNumberingAfterBreak="0">
    <w:nsid w:val="6F9F78CF"/>
    <w:multiLevelType w:val="hybridMultilevel"/>
    <w:tmpl w:val="BF6AC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7E5B37AC"/>
    <w:multiLevelType w:val="hybridMultilevel"/>
    <w:tmpl w:val="D1100868"/>
    <w:lvl w:ilvl="0" w:tplc="E716E568">
      <w:start w:val="1"/>
      <w:numFmt w:val="bullet"/>
      <w:lvlText w:val=""/>
      <w:lvlJc w:val="left"/>
      <w:pPr>
        <w:ind w:left="720" w:hanging="360"/>
      </w:pPr>
      <w:rPr>
        <w:rFonts w:ascii="Symbol" w:hAnsi="Symbol" w:hint="default"/>
        <w:b/>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4"/>
  </w:num>
  <w:num w:numId="4">
    <w:abstractNumId w:val="12"/>
  </w:num>
  <w:num w:numId="5">
    <w:abstractNumId w:val="11"/>
  </w:num>
  <w:num w:numId="6">
    <w:abstractNumId w:val="3"/>
  </w:num>
  <w:num w:numId="7">
    <w:abstractNumId w:val="0"/>
  </w:num>
  <w:num w:numId="8">
    <w:abstractNumId w:val="7"/>
  </w:num>
  <w:num w:numId="9">
    <w:abstractNumId w:val="4"/>
  </w:num>
  <w:num w:numId="10">
    <w:abstractNumId w:val="8"/>
  </w:num>
  <w:num w:numId="11">
    <w:abstractNumId w:val="13"/>
  </w:num>
  <w:num w:numId="12">
    <w:abstractNumId w:val="1"/>
  </w:num>
  <w:num w:numId="13">
    <w:abstractNumId w:val="5"/>
  </w:num>
  <w:num w:numId="14">
    <w:abstractNumId w:val="2"/>
  </w:num>
  <w:num w:numId="15">
    <w:abstractNumId w:val="10"/>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BD9"/>
    <w:rsid w:val="0000661D"/>
    <w:rsid w:val="00015B11"/>
    <w:rsid w:val="00017C0A"/>
    <w:rsid w:val="00022C5E"/>
    <w:rsid w:val="000433AB"/>
    <w:rsid w:val="00045326"/>
    <w:rsid w:val="00050F40"/>
    <w:rsid w:val="0008671C"/>
    <w:rsid w:val="000918A5"/>
    <w:rsid w:val="00092438"/>
    <w:rsid w:val="000B1CC4"/>
    <w:rsid w:val="000C4A3E"/>
    <w:rsid w:val="000D5D39"/>
    <w:rsid w:val="000E49A3"/>
    <w:rsid w:val="000F399C"/>
    <w:rsid w:val="000F790B"/>
    <w:rsid w:val="0010250E"/>
    <w:rsid w:val="00102FCD"/>
    <w:rsid w:val="0010618E"/>
    <w:rsid w:val="00107128"/>
    <w:rsid w:val="00113E7E"/>
    <w:rsid w:val="00121CDF"/>
    <w:rsid w:val="00131F8D"/>
    <w:rsid w:val="00141BDA"/>
    <w:rsid w:val="00144547"/>
    <w:rsid w:val="00164CD2"/>
    <w:rsid w:val="001665C7"/>
    <w:rsid w:val="001713A3"/>
    <w:rsid w:val="00172D8B"/>
    <w:rsid w:val="00175D87"/>
    <w:rsid w:val="001B0F1D"/>
    <w:rsid w:val="001C528D"/>
    <w:rsid w:val="001D7CAF"/>
    <w:rsid w:val="001E3A59"/>
    <w:rsid w:val="001F27A2"/>
    <w:rsid w:val="00200F37"/>
    <w:rsid w:val="002110D3"/>
    <w:rsid w:val="00214485"/>
    <w:rsid w:val="00222B70"/>
    <w:rsid w:val="00232F9F"/>
    <w:rsid w:val="0023450E"/>
    <w:rsid w:val="002465F2"/>
    <w:rsid w:val="00260664"/>
    <w:rsid w:val="002739B4"/>
    <w:rsid w:val="00281DAF"/>
    <w:rsid w:val="00286E2A"/>
    <w:rsid w:val="00294294"/>
    <w:rsid w:val="0029460D"/>
    <w:rsid w:val="002947CA"/>
    <w:rsid w:val="00297012"/>
    <w:rsid w:val="002A1D93"/>
    <w:rsid w:val="002C64A2"/>
    <w:rsid w:val="002D159D"/>
    <w:rsid w:val="002D60E9"/>
    <w:rsid w:val="002E3ECE"/>
    <w:rsid w:val="0033020D"/>
    <w:rsid w:val="00343DCB"/>
    <w:rsid w:val="00344463"/>
    <w:rsid w:val="0035516D"/>
    <w:rsid w:val="003554F3"/>
    <w:rsid w:val="00356AC8"/>
    <w:rsid w:val="0036184A"/>
    <w:rsid w:val="003854F7"/>
    <w:rsid w:val="003934D0"/>
    <w:rsid w:val="003978EF"/>
    <w:rsid w:val="003A2455"/>
    <w:rsid w:val="003A3301"/>
    <w:rsid w:val="003A3D01"/>
    <w:rsid w:val="003A4A8C"/>
    <w:rsid w:val="003A67E8"/>
    <w:rsid w:val="003C4B8E"/>
    <w:rsid w:val="003F3122"/>
    <w:rsid w:val="00420DD2"/>
    <w:rsid w:val="00426D24"/>
    <w:rsid w:val="004570FC"/>
    <w:rsid w:val="004736B2"/>
    <w:rsid w:val="00477375"/>
    <w:rsid w:val="00482A49"/>
    <w:rsid w:val="004A0EFB"/>
    <w:rsid w:val="004C3915"/>
    <w:rsid w:val="004C4996"/>
    <w:rsid w:val="004D3D29"/>
    <w:rsid w:val="004E75E2"/>
    <w:rsid w:val="004E7C9A"/>
    <w:rsid w:val="004F2A5B"/>
    <w:rsid w:val="0051500A"/>
    <w:rsid w:val="00515823"/>
    <w:rsid w:val="0052762E"/>
    <w:rsid w:val="005339CC"/>
    <w:rsid w:val="00533AD5"/>
    <w:rsid w:val="00541DDA"/>
    <w:rsid w:val="00551BEB"/>
    <w:rsid w:val="00574ABF"/>
    <w:rsid w:val="005909D1"/>
    <w:rsid w:val="005A668E"/>
    <w:rsid w:val="005C3CCA"/>
    <w:rsid w:val="005D2B70"/>
    <w:rsid w:val="005E0775"/>
    <w:rsid w:val="005E54B4"/>
    <w:rsid w:val="005F1BEB"/>
    <w:rsid w:val="005F5B9E"/>
    <w:rsid w:val="00601C37"/>
    <w:rsid w:val="00604903"/>
    <w:rsid w:val="0061569B"/>
    <w:rsid w:val="00616C13"/>
    <w:rsid w:val="0062103F"/>
    <w:rsid w:val="00622AEB"/>
    <w:rsid w:val="00622B1A"/>
    <w:rsid w:val="00625ADB"/>
    <w:rsid w:val="00637C33"/>
    <w:rsid w:val="00647167"/>
    <w:rsid w:val="00652FF1"/>
    <w:rsid w:val="0065531A"/>
    <w:rsid w:val="00660129"/>
    <w:rsid w:val="006631E4"/>
    <w:rsid w:val="0066351C"/>
    <w:rsid w:val="00665100"/>
    <w:rsid w:val="006729CE"/>
    <w:rsid w:val="0067345D"/>
    <w:rsid w:val="00675688"/>
    <w:rsid w:val="006822AC"/>
    <w:rsid w:val="00683FBD"/>
    <w:rsid w:val="0068492C"/>
    <w:rsid w:val="006870EB"/>
    <w:rsid w:val="00687BD9"/>
    <w:rsid w:val="006902AC"/>
    <w:rsid w:val="00693F1F"/>
    <w:rsid w:val="00694F53"/>
    <w:rsid w:val="00695F23"/>
    <w:rsid w:val="006A06C6"/>
    <w:rsid w:val="006B0183"/>
    <w:rsid w:val="006C162B"/>
    <w:rsid w:val="006C6EAB"/>
    <w:rsid w:val="006D0F5A"/>
    <w:rsid w:val="006D2BEE"/>
    <w:rsid w:val="006D4340"/>
    <w:rsid w:val="006E0CE5"/>
    <w:rsid w:val="006E218F"/>
    <w:rsid w:val="006E3B92"/>
    <w:rsid w:val="00701C55"/>
    <w:rsid w:val="00710FD5"/>
    <w:rsid w:val="007134A7"/>
    <w:rsid w:val="00722664"/>
    <w:rsid w:val="0074049B"/>
    <w:rsid w:val="00743A06"/>
    <w:rsid w:val="007515CB"/>
    <w:rsid w:val="00757C7B"/>
    <w:rsid w:val="00764784"/>
    <w:rsid w:val="00765D2D"/>
    <w:rsid w:val="007759B2"/>
    <w:rsid w:val="00775D1D"/>
    <w:rsid w:val="00776390"/>
    <w:rsid w:val="00781228"/>
    <w:rsid w:val="00786D2C"/>
    <w:rsid w:val="007A3E23"/>
    <w:rsid w:val="007A6B72"/>
    <w:rsid w:val="007B1A70"/>
    <w:rsid w:val="007B3FE6"/>
    <w:rsid w:val="007B65D1"/>
    <w:rsid w:val="007C297D"/>
    <w:rsid w:val="007C3C85"/>
    <w:rsid w:val="007E007B"/>
    <w:rsid w:val="00840BF7"/>
    <w:rsid w:val="00843227"/>
    <w:rsid w:val="0084481A"/>
    <w:rsid w:val="008450F6"/>
    <w:rsid w:val="0085483D"/>
    <w:rsid w:val="00865288"/>
    <w:rsid w:val="00872899"/>
    <w:rsid w:val="008730D3"/>
    <w:rsid w:val="00884DD7"/>
    <w:rsid w:val="00885B27"/>
    <w:rsid w:val="0089357D"/>
    <w:rsid w:val="00897C7E"/>
    <w:rsid w:val="008A1C36"/>
    <w:rsid w:val="008A5741"/>
    <w:rsid w:val="008A5E55"/>
    <w:rsid w:val="008C2D66"/>
    <w:rsid w:val="008C75C0"/>
    <w:rsid w:val="008E05BD"/>
    <w:rsid w:val="008F0756"/>
    <w:rsid w:val="00910DD3"/>
    <w:rsid w:val="00921DA4"/>
    <w:rsid w:val="00927D99"/>
    <w:rsid w:val="0093167D"/>
    <w:rsid w:val="0097303C"/>
    <w:rsid w:val="00991962"/>
    <w:rsid w:val="009B35E4"/>
    <w:rsid w:val="009B62BB"/>
    <w:rsid w:val="009B796D"/>
    <w:rsid w:val="009D07DA"/>
    <w:rsid w:val="009D60DF"/>
    <w:rsid w:val="009D7813"/>
    <w:rsid w:val="009E6761"/>
    <w:rsid w:val="009E6F65"/>
    <w:rsid w:val="009E75B2"/>
    <w:rsid w:val="009F3F99"/>
    <w:rsid w:val="00A0099A"/>
    <w:rsid w:val="00A12D5C"/>
    <w:rsid w:val="00A50289"/>
    <w:rsid w:val="00A60ABD"/>
    <w:rsid w:val="00A63079"/>
    <w:rsid w:val="00A76320"/>
    <w:rsid w:val="00A7749E"/>
    <w:rsid w:val="00A82854"/>
    <w:rsid w:val="00A919AB"/>
    <w:rsid w:val="00AA27C2"/>
    <w:rsid w:val="00AA4962"/>
    <w:rsid w:val="00AC5B6D"/>
    <w:rsid w:val="00AE0A37"/>
    <w:rsid w:val="00AF10BC"/>
    <w:rsid w:val="00AF23C4"/>
    <w:rsid w:val="00AF40F9"/>
    <w:rsid w:val="00AF726C"/>
    <w:rsid w:val="00B03CB6"/>
    <w:rsid w:val="00B05069"/>
    <w:rsid w:val="00B11EE2"/>
    <w:rsid w:val="00B34F4D"/>
    <w:rsid w:val="00B47216"/>
    <w:rsid w:val="00B67F83"/>
    <w:rsid w:val="00B71FA3"/>
    <w:rsid w:val="00B7565E"/>
    <w:rsid w:val="00B75A2D"/>
    <w:rsid w:val="00B81460"/>
    <w:rsid w:val="00B831D3"/>
    <w:rsid w:val="00B8655E"/>
    <w:rsid w:val="00B86582"/>
    <w:rsid w:val="00B90FEF"/>
    <w:rsid w:val="00BA452E"/>
    <w:rsid w:val="00BA73BE"/>
    <w:rsid w:val="00BB073C"/>
    <w:rsid w:val="00BC39FD"/>
    <w:rsid w:val="00BF0EBC"/>
    <w:rsid w:val="00BF596A"/>
    <w:rsid w:val="00C02020"/>
    <w:rsid w:val="00C15E9B"/>
    <w:rsid w:val="00C214E1"/>
    <w:rsid w:val="00C25C2B"/>
    <w:rsid w:val="00C50C42"/>
    <w:rsid w:val="00C51AEE"/>
    <w:rsid w:val="00C53DA0"/>
    <w:rsid w:val="00C75F27"/>
    <w:rsid w:val="00C772BF"/>
    <w:rsid w:val="00C82B30"/>
    <w:rsid w:val="00C96E12"/>
    <w:rsid w:val="00CA5ACF"/>
    <w:rsid w:val="00CC458D"/>
    <w:rsid w:val="00CC700D"/>
    <w:rsid w:val="00CC73A0"/>
    <w:rsid w:val="00CD57FB"/>
    <w:rsid w:val="00D107DA"/>
    <w:rsid w:val="00D2294B"/>
    <w:rsid w:val="00D233D6"/>
    <w:rsid w:val="00D23696"/>
    <w:rsid w:val="00D24B29"/>
    <w:rsid w:val="00D36578"/>
    <w:rsid w:val="00D419B1"/>
    <w:rsid w:val="00D42310"/>
    <w:rsid w:val="00D5098F"/>
    <w:rsid w:val="00D61C52"/>
    <w:rsid w:val="00D6210F"/>
    <w:rsid w:val="00D62C3A"/>
    <w:rsid w:val="00D65862"/>
    <w:rsid w:val="00D67161"/>
    <w:rsid w:val="00D754E4"/>
    <w:rsid w:val="00D76D04"/>
    <w:rsid w:val="00D770F8"/>
    <w:rsid w:val="00D979A4"/>
    <w:rsid w:val="00DA2F7C"/>
    <w:rsid w:val="00DB2842"/>
    <w:rsid w:val="00DB5AD3"/>
    <w:rsid w:val="00DD547A"/>
    <w:rsid w:val="00E07AB2"/>
    <w:rsid w:val="00E101A3"/>
    <w:rsid w:val="00E135EE"/>
    <w:rsid w:val="00E2374A"/>
    <w:rsid w:val="00E239CD"/>
    <w:rsid w:val="00E31D4B"/>
    <w:rsid w:val="00E414F7"/>
    <w:rsid w:val="00E46F10"/>
    <w:rsid w:val="00E552DD"/>
    <w:rsid w:val="00E727CA"/>
    <w:rsid w:val="00E7697D"/>
    <w:rsid w:val="00E864FD"/>
    <w:rsid w:val="00E8667E"/>
    <w:rsid w:val="00EA4559"/>
    <w:rsid w:val="00EA47A2"/>
    <w:rsid w:val="00EA6F8A"/>
    <w:rsid w:val="00EB4A9D"/>
    <w:rsid w:val="00EC33E8"/>
    <w:rsid w:val="00EC62F3"/>
    <w:rsid w:val="00ED213A"/>
    <w:rsid w:val="00ED55DB"/>
    <w:rsid w:val="00EF455C"/>
    <w:rsid w:val="00F009A8"/>
    <w:rsid w:val="00F265D6"/>
    <w:rsid w:val="00F32C06"/>
    <w:rsid w:val="00F37866"/>
    <w:rsid w:val="00F42BD9"/>
    <w:rsid w:val="00F52FD8"/>
    <w:rsid w:val="00F55C1D"/>
    <w:rsid w:val="00F57E1D"/>
    <w:rsid w:val="00F654B9"/>
    <w:rsid w:val="00F7670E"/>
    <w:rsid w:val="00F869F7"/>
    <w:rsid w:val="00F91F09"/>
    <w:rsid w:val="00FA0371"/>
    <w:rsid w:val="00FA3747"/>
    <w:rsid w:val="00FB3306"/>
    <w:rsid w:val="00FC0A95"/>
    <w:rsid w:val="00FC40EC"/>
    <w:rsid w:val="00FC4B2C"/>
    <w:rsid w:val="00FE182B"/>
    <w:rsid w:val="00FE31F5"/>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B575F2"/>
  <w15:docId w15:val="{E9962E4C-4A5F-40B3-A11B-308A93B1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Text"/>
    <w:qFormat/>
    <w:rsid w:val="00647167"/>
    <w:pPr>
      <w:spacing w:before="0" w:line="360" w:lineRule="auto"/>
    </w:pPr>
    <w:rPr>
      <w:rFonts w:ascii="Arial" w:eastAsia="Calibri" w:hAnsi="Arial" w:cs="Times New Roman"/>
      <w:color w:val="auto"/>
      <w:szCs w:val="22"/>
      <w:lang w:eastAsia="en-US"/>
    </w:r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outlineLvl w:val="1"/>
    </w:pPr>
    <w:rPr>
      <w:sz w:val="28"/>
    </w:rPr>
  </w:style>
  <w:style w:type="paragraph" w:styleId="Heading3">
    <w:name w:val="heading 3"/>
    <w:aliases w:val="~Heading 3"/>
    <w:basedOn w:val="ExecSumSubHead"/>
    <w:next w:val="Normal"/>
    <w:link w:val="Heading3Char"/>
    <w:uiPriority w:val="2"/>
    <w:qFormat/>
    <w:rsid w:val="00CC700D"/>
    <w:p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D23696"/>
    <w:pPr>
      <w:numPr>
        <w:numId w:val="2"/>
      </w:numPr>
      <w:spacing w:before="60" w:after="60"/>
    </w:p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semiHidden/>
    <w:unhideWhenUsed/>
    <w:rsid w:val="00CA5ACF"/>
    <w:pPr>
      <w:spacing w:before="120" w:line="240" w:lineRule="auto"/>
    </w:pPr>
  </w:style>
  <w:style w:type="character" w:customStyle="1" w:styleId="CommentTextChar">
    <w:name w:val="Comment Text Char"/>
    <w:basedOn w:val="DefaultParagraphFont"/>
    <w:link w:val="CommentText"/>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99"/>
    <w:rsid w:val="00C96E12"/>
    <w:rPr>
      <w:sz w:val="20"/>
    </w:rPr>
  </w:style>
  <w:style w:type="character" w:customStyle="1" w:styleId="HeaderChar">
    <w:name w:val="Header Char"/>
    <w:aliases w:val="~Header Char"/>
    <w:basedOn w:val="DefaultParagraphFont"/>
    <w:link w:val="Header"/>
    <w:uiPriority w:val="99"/>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5"/>
      </w:numPr>
      <w:spacing w:before="120" w:after="120" w:line="240" w:lineRule="auto"/>
      <w:ind w:left="431" w:hanging="431"/>
      <w:contextualSpacing/>
      <w:jc w:val="both"/>
    </w:pPr>
    <w:rPr>
      <w:rFonts w:eastAsiaTheme="minorHAnsi" w:cs="Arial"/>
    </w:rPr>
  </w:style>
  <w:style w:type="paragraph" w:styleId="ListParagraph">
    <w:name w:val="List Paragraph"/>
    <w:basedOn w:val="Normal"/>
    <w:uiPriority w:val="34"/>
    <w:qFormat/>
    <w:rsid w:val="007134A7"/>
    <w:pPr>
      <w:ind w:left="720"/>
      <w:contextualSpacing/>
    </w:pPr>
  </w:style>
  <w:style w:type="paragraph" w:styleId="ListBullet">
    <w:name w:val="List Bullet"/>
    <w:basedOn w:val="Normal"/>
    <w:rsid w:val="008E05BD"/>
    <w:pPr>
      <w:numPr>
        <w:numId w:val="7"/>
      </w:numPr>
    </w:pPr>
  </w:style>
  <w:style w:type="paragraph" w:customStyle="1" w:styleId="IndentedText">
    <w:name w:val="Indented Text"/>
    <w:basedOn w:val="Normal"/>
    <w:link w:val="IndentedTextChar"/>
    <w:rsid w:val="008E05BD"/>
    <w:pPr>
      <w:widowControl w:val="0"/>
      <w:tabs>
        <w:tab w:val="left" w:pos="1418"/>
      </w:tabs>
      <w:spacing w:after="360" w:line="360" w:lineRule="exact"/>
      <w:ind w:left="1418" w:hanging="1418"/>
    </w:pPr>
    <w:rPr>
      <w:szCs w:val="20"/>
      <w:lang w:val="x-none" w:eastAsia="x-none"/>
    </w:rPr>
  </w:style>
  <w:style w:type="paragraph" w:customStyle="1" w:styleId="BoldOrange">
    <w:name w:val="Bold Orange"/>
    <w:basedOn w:val="IndentedText"/>
    <w:link w:val="BoldOrangeChar"/>
    <w:rsid w:val="008E05BD"/>
    <w:rPr>
      <w:b/>
      <w:color w:val="E37222"/>
    </w:rPr>
  </w:style>
  <w:style w:type="character" w:customStyle="1" w:styleId="IndentedTextChar">
    <w:name w:val="Indented Text Char"/>
    <w:link w:val="IndentedText"/>
    <w:rsid w:val="008E05BD"/>
    <w:rPr>
      <w:rFonts w:ascii="Arial" w:eastAsia="Calibri" w:hAnsi="Arial" w:cs="Times New Roman"/>
      <w:color w:val="auto"/>
      <w:szCs w:val="20"/>
      <w:lang w:val="x-none" w:eastAsia="x-none"/>
    </w:rPr>
  </w:style>
  <w:style w:type="character" w:customStyle="1" w:styleId="BoldOrangeChar">
    <w:name w:val="Bold Orange Char"/>
    <w:link w:val="BoldOrange"/>
    <w:rsid w:val="008E05BD"/>
    <w:rPr>
      <w:rFonts w:ascii="Arial" w:eastAsia="Calibri" w:hAnsi="Arial" w:cs="Times New Roman"/>
      <w:b/>
      <w:color w:val="E37222"/>
      <w:szCs w:val="20"/>
      <w:lang w:val="x-none" w:eastAsia="x-none"/>
    </w:rPr>
  </w:style>
  <w:style w:type="paragraph" w:styleId="BodyText">
    <w:name w:val="Body Text"/>
    <w:basedOn w:val="Normal"/>
    <w:link w:val="BodyTextChar"/>
    <w:rsid w:val="008E05BD"/>
    <w:pPr>
      <w:widowControl w:val="0"/>
    </w:pPr>
  </w:style>
  <w:style w:type="character" w:customStyle="1" w:styleId="BodyTextChar">
    <w:name w:val="Body Text Char"/>
    <w:basedOn w:val="DefaultParagraphFont"/>
    <w:link w:val="BodyText"/>
    <w:rsid w:val="008E05BD"/>
    <w:rPr>
      <w:rFonts w:ascii="Arial" w:eastAsia="Calibri" w:hAnsi="Arial" w:cs="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601812">
      <w:bodyDiv w:val="1"/>
      <w:marLeft w:val="0"/>
      <w:marRight w:val="0"/>
      <w:marTop w:val="0"/>
      <w:marBottom w:val="0"/>
      <w:divBdr>
        <w:top w:val="none" w:sz="0" w:space="0" w:color="auto"/>
        <w:left w:val="none" w:sz="0" w:space="0" w:color="auto"/>
        <w:bottom w:val="none" w:sz="0" w:space="0" w:color="auto"/>
        <w:right w:val="none" w:sz="0" w:space="0" w:color="auto"/>
      </w:divBdr>
    </w:div>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ustomXml" Target="ink/ink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2).dotx" TargetMode="External"/></Relationships>
</file>

<file path=word/ink/ink1.xml><?xml version="1.0" encoding="utf-8"?>
<inkml:ink xmlns:inkml="http://www.w3.org/2003/InkML">
  <inkml:definitions>
    <inkml:context xml:id="ctx0">
      <inkml:inkSource xml:id="inkSrc0">
        <inkml:traceFormat>
          <inkml:channel name="X" type="integer" max="9600" units="cm"/>
          <inkml:channel name="Y" type="integer" max="7200" units="cm"/>
          <inkml:channel name="F" type="integer" max="1024" units="dev"/>
          <inkml:channel name="T" type="integer" max="2.14748E9" units="dev"/>
        </inkml:traceFormat>
        <inkml:channelProperties>
          <inkml:channelProperty channel="X" name="resolution" value="369.51501" units="1/cm"/>
          <inkml:channelProperty channel="Y" name="resolution" value="415.70438" units="1/cm"/>
          <inkml:channelProperty channel="F" name="resolution" value="0" units="1/dev"/>
          <inkml:channelProperty channel="T" name="resolution" value="1" units="1/dev"/>
        </inkml:channelProperties>
      </inkml:inkSource>
      <inkml:timestamp xml:id="ts0" timeString="2017-02-07T08:48:16.775"/>
    </inkml:context>
    <inkml:brush xml:id="br0">
      <inkml:brushProperty name="width" value="0.13333" units="cm"/>
      <inkml:brushProperty name="height" value="0.13333" units="cm"/>
      <inkml:brushProperty name="color" value="#ED1C24"/>
      <inkml:brushProperty name="fitToCurve" value="1"/>
    </inkml:brush>
  </inkml:definitions>
  <inkml:trace contextRef="#ctx0" brushRef="#br0">15 0 4 0,'-18'0'5'0,"29"5"-2"0</inkml:trace>
</inkml:ink>
</file>

<file path=word/ink/ink2.xml><?xml version="1.0" encoding="utf-8"?>
<inkml:ink xmlns:inkml="http://www.w3.org/2003/InkML">
  <inkml:definitions>
    <inkml:context xml:id="ctx0">
      <inkml:inkSource xml:id="inkSrc0">
        <inkml:traceFormat>
          <inkml:channel name="X" type="integer" max="9600" units="cm"/>
          <inkml:channel name="Y" type="integer" max="7200" units="cm"/>
          <inkml:channel name="T" type="integer" max="2.14748E9" units="dev"/>
        </inkml:traceFormat>
        <inkml:channelProperties>
          <inkml:channelProperty channel="X" name="resolution" value="369.51501" units="1/cm"/>
          <inkml:channelProperty channel="Y" name="resolution" value="415.70438" units="1/cm"/>
          <inkml:channelProperty channel="T" name="resolution" value="1" units="1/dev"/>
        </inkml:channelProperties>
      </inkml:inkSource>
      <inkml:timestamp xml:id="ts0" timeString="2017-02-07T08:46:56.298"/>
    </inkml:context>
    <inkml:brush xml:id="br0">
      <inkml:brushProperty name="width" value="0.13333" units="cm"/>
      <inkml:brushProperty name="height" value="0.13333" units="cm"/>
      <inkml:brushProperty name="color" value="#ED1C24"/>
      <inkml:brushProperty name="fitToCurve" value="1"/>
    </inkml:brush>
  </inkml:definitions>
  <inkml:trace contextRef="#ctx0" brushRef="#br0">394 7425 0,'-74'-84'16,"0"5"0,4-11-1,8-7 1,19-31 0,4-41-1,16-18 1,23-42-1,-4-13 1,16-34 0,-1 2-1,9-27-15,7 11 16,0-15 0,24-3-1,11 4 1,-19-7-1,11-18 1,1-3 0,11-11-1,0-3 1,-19 11 0,-4 6-1,0 21 1,-8 35-1,-20 17 1,12 17 0,12 18-1,0 37 1,-12 56 0,-11 42-1,-4 44 1,-12 42-1,-4 49 1,-101-15 0</inkml:trace>
</inkml:ink>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DC376B9FABF44587CE543B20784891" ma:contentTypeVersion="6" ma:contentTypeDescription="Create a new document." ma:contentTypeScope="" ma:versionID="6499d4e172c0a48ca02e165c35ae952f">
  <xsd:schema xmlns:xsd="http://www.w3.org/2001/XMLSchema" xmlns:xs="http://www.w3.org/2001/XMLSchema" xmlns:p="http://schemas.microsoft.com/office/2006/metadata/properties" xmlns:ns2="1e1eab69-54db-415c-862b-3aede28d2da2" xmlns:ns3="f35f19a2-8ae4-4280-bafe-63247aded9ad" targetNamespace="http://schemas.microsoft.com/office/2006/metadata/properties" ma:root="true" ma:fieldsID="b5bd46a3ea6e3f909f44d832250cba70" ns2:_="" ns3:_="">
    <xsd:import namespace="1e1eab69-54db-415c-862b-3aede28d2da2"/>
    <xsd:import namespace="f35f19a2-8ae4-4280-bafe-63247aded9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eab69-54db-415c-862b-3aede28d2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5f19a2-8ae4-4280-bafe-63247aded9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7FCF08-59F3-4A9E-A863-DB0078125FBD}">
  <ds:schemaRefs>
    <ds:schemaRef ds:uri="http://schemas.openxmlformats.org/officeDocument/2006/bibliography"/>
  </ds:schemaRefs>
</ds:datastoreItem>
</file>

<file path=customXml/itemProps2.xml><?xml version="1.0" encoding="utf-8"?>
<ds:datastoreItem xmlns:ds="http://schemas.openxmlformats.org/officeDocument/2006/customXml" ds:itemID="{F9FCD91A-89FA-4170-A2C8-6779BA9144E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0003AD-3870-4B06-8012-198914BC3F57}">
  <ds:schemaRefs>
    <ds:schemaRef ds:uri="http://schemas.microsoft.com/sharepoint/v3/contenttype/forms"/>
  </ds:schemaRefs>
</ds:datastoreItem>
</file>

<file path=customXml/itemProps4.xml><?xml version="1.0" encoding="utf-8"?>
<ds:datastoreItem xmlns:ds="http://schemas.openxmlformats.org/officeDocument/2006/customXml" ds:itemID="{CE440578-A87E-499C-839D-A71033315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eab69-54db-415c-862b-3aede28d2da2"/>
    <ds:schemaRef ds:uri="f35f19a2-8ae4-4280-bafe-63247aded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(2).dotx</Template>
  <TotalTime>0</TotalTime>
  <Pages>18</Pages>
  <Words>3854</Words>
  <Characters>21275</Characters>
  <Application>Microsoft Office Word</Application>
  <DocSecurity>0</DocSecurity>
  <Lines>559</Lines>
  <Paragraphs>267</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Lynne Kendall</dc:creator>
  <cp:lastModifiedBy>Kayleigh Sergeant</cp:lastModifiedBy>
  <cp:revision>2</cp:revision>
  <cp:lastPrinted>2020-08-12T00:26:00Z</cp:lastPrinted>
  <dcterms:created xsi:type="dcterms:W3CDTF">2021-09-01T08:42:00Z</dcterms:created>
  <dcterms:modified xsi:type="dcterms:W3CDTF">2021-09-01T08:42:00Z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y fmtid="{D5CDD505-2E9C-101B-9397-08002B2CF9AE}" pid="4" name="ContentTypeId">
    <vt:lpwstr>0x01010090DC376B9FABF44587CE543B20784891</vt:lpwstr>
  </property>
</Properties>
</file>